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EAF" w:rsidRPr="00787EAF" w:rsidRDefault="00787EAF" w:rsidP="00787EAF">
      <w:pPr>
        <w:tabs>
          <w:tab w:val="left" w:pos="2908"/>
        </w:tabs>
        <w:rPr>
          <w:sz w:val="40"/>
          <w:szCs w:val="40"/>
          <w:lang w:val="en-US"/>
        </w:rPr>
      </w:pPr>
    </w:p>
    <w:p w:rsidR="00A358F4" w:rsidRDefault="00787EAF" w:rsidP="00787EAF">
      <w:pPr>
        <w:ind w:left="720" w:firstLine="720"/>
        <w:rPr>
          <w:b/>
          <w:sz w:val="32"/>
          <w:szCs w:val="32"/>
          <w:u w:val="single"/>
        </w:rPr>
      </w:pPr>
      <w:r w:rsidRPr="00787EAF">
        <w:rPr>
          <w:b/>
          <w:sz w:val="32"/>
          <w:szCs w:val="32"/>
          <w:lang w:val="en-US"/>
        </w:rPr>
        <w:t xml:space="preserve">                          </w:t>
      </w:r>
      <w:r w:rsidR="00B73966">
        <w:rPr>
          <w:b/>
          <w:sz w:val="32"/>
          <w:szCs w:val="32"/>
          <w:u w:val="single"/>
        </w:rPr>
        <w:t>ΠΕΡΙΕΧΟΜΕΝΑ</w:t>
      </w:r>
    </w:p>
    <w:p w:rsidR="00A358F4" w:rsidRDefault="00A358F4">
      <w:pPr>
        <w:jc w:val="center"/>
        <w:rPr>
          <w:b/>
          <w:sz w:val="32"/>
          <w:szCs w:val="32"/>
          <w:u w:val="single"/>
        </w:rPr>
      </w:pPr>
    </w:p>
    <w:p w:rsidR="00D706E2" w:rsidRDefault="00774D0A">
      <w:pPr>
        <w:pStyle w:val="TOC1"/>
        <w:tabs>
          <w:tab w:val="left" w:pos="480"/>
          <w:tab w:val="right" w:leader="dot" w:pos="9060"/>
        </w:tabs>
        <w:rPr>
          <w:rFonts w:asciiTheme="minorHAnsi" w:eastAsiaTheme="minorEastAsia" w:hAnsiTheme="minorHAnsi" w:cstheme="minorBidi"/>
          <w:noProof/>
          <w:sz w:val="22"/>
          <w:szCs w:val="22"/>
        </w:rPr>
      </w:pPr>
      <w:r w:rsidRPr="00774D0A">
        <w:fldChar w:fldCharType="begin"/>
      </w:r>
      <w:r w:rsidR="00B73966">
        <w:instrText xml:space="preserve"> TOC \o "1-4" \h \z \u </w:instrText>
      </w:r>
      <w:r w:rsidRPr="00774D0A">
        <w:fldChar w:fldCharType="separate"/>
      </w:r>
      <w:hyperlink w:anchor="_Toc383086777" w:history="1">
        <w:r w:rsidR="00D706E2" w:rsidRPr="003D384C">
          <w:rPr>
            <w:rStyle w:val="Hyperlink"/>
            <w:noProof/>
          </w:rPr>
          <w:t>1.</w:t>
        </w:r>
        <w:r w:rsidR="00D706E2">
          <w:rPr>
            <w:rFonts w:asciiTheme="minorHAnsi" w:eastAsiaTheme="minorEastAsia" w:hAnsiTheme="minorHAnsi" w:cstheme="minorBidi"/>
            <w:noProof/>
            <w:sz w:val="22"/>
            <w:szCs w:val="22"/>
          </w:rPr>
          <w:tab/>
        </w:r>
        <w:r w:rsidR="00D706E2" w:rsidRPr="003D384C">
          <w:rPr>
            <w:rStyle w:val="Hyperlink"/>
            <w:noProof/>
          </w:rPr>
          <w:t>ΔΙΕΥΘΥΝΣΗ ΦΑΡΜΑΚΕΥΤΙΚΩΝ ΥΠΗΡΕΣΙΩΝ</w:t>
        </w:r>
        <w:r w:rsidR="00D706E2">
          <w:rPr>
            <w:noProof/>
            <w:webHidden/>
          </w:rPr>
          <w:tab/>
        </w:r>
        <w:r>
          <w:rPr>
            <w:noProof/>
            <w:webHidden/>
          </w:rPr>
          <w:fldChar w:fldCharType="begin"/>
        </w:r>
        <w:r w:rsidR="00D706E2">
          <w:rPr>
            <w:noProof/>
            <w:webHidden/>
          </w:rPr>
          <w:instrText xml:space="preserve"> PAGEREF _Toc383086777 \h </w:instrText>
        </w:r>
        <w:r>
          <w:rPr>
            <w:noProof/>
            <w:webHidden/>
          </w:rPr>
        </w:r>
        <w:r>
          <w:rPr>
            <w:noProof/>
            <w:webHidden/>
          </w:rPr>
          <w:fldChar w:fldCharType="separate"/>
        </w:r>
        <w:r w:rsidR="00D706E2">
          <w:rPr>
            <w:noProof/>
            <w:webHidden/>
          </w:rPr>
          <w:t>5</w:t>
        </w:r>
        <w:r>
          <w:rPr>
            <w:noProof/>
            <w:webHidden/>
          </w:rPr>
          <w:fldChar w:fldCharType="end"/>
        </w:r>
      </w:hyperlink>
    </w:p>
    <w:p w:rsidR="00D706E2" w:rsidRDefault="00774D0A">
      <w:pPr>
        <w:pStyle w:val="TOC2"/>
        <w:rPr>
          <w:rFonts w:asciiTheme="minorHAnsi" w:eastAsiaTheme="minorEastAsia" w:hAnsiTheme="minorHAnsi" w:cstheme="minorBidi"/>
          <w:b w:val="0"/>
          <w:sz w:val="22"/>
          <w:szCs w:val="22"/>
        </w:rPr>
      </w:pPr>
      <w:hyperlink w:anchor="_Toc383086778" w:history="1">
        <w:r w:rsidR="00D706E2" w:rsidRPr="003D384C">
          <w:rPr>
            <w:rStyle w:val="Hyperlink"/>
            <w:lang w:val="en-US"/>
          </w:rPr>
          <w:t>1.1</w:t>
        </w:r>
        <w:r w:rsidR="00D706E2">
          <w:rPr>
            <w:rFonts w:asciiTheme="minorHAnsi" w:eastAsiaTheme="minorEastAsia" w:hAnsiTheme="minorHAnsi" w:cstheme="minorBidi"/>
            <w:b w:val="0"/>
            <w:sz w:val="22"/>
            <w:szCs w:val="22"/>
          </w:rPr>
          <w:tab/>
        </w:r>
        <w:r w:rsidR="00D706E2" w:rsidRPr="003D384C">
          <w:rPr>
            <w:rStyle w:val="Hyperlink"/>
          </w:rPr>
          <w:t>Εισαγωγή</w:t>
        </w:r>
        <w:r w:rsidR="00D706E2">
          <w:rPr>
            <w:webHidden/>
          </w:rPr>
          <w:tab/>
        </w:r>
        <w:r>
          <w:rPr>
            <w:webHidden/>
          </w:rPr>
          <w:fldChar w:fldCharType="begin"/>
        </w:r>
        <w:r w:rsidR="00D706E2">
          <w:rPr>
            <w:webHidden/>
          </w:rPr>
          <w:instrText xml:space="preserve"> PAGEREF _Toc383086778 \h </w:instrText>
        </w:r>
        <w:r>
          <w:rPr>
            <w:webHidden/>
          </w:rPr>
        </w:r>
        <w:r>
          <w:rPr>
            <w:webHidden/>
          </w:rPr>
          <w:fldChar w:fldCharType="separate"/>
        </w:r>
        <w:r w:rsidR="00D706E2">
          <w:rPr>
            <w:webHidden/>
          </w:rPr>
          <w:t>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79" w:history="1">
        <w:r w:rsidR="00D706E2" w:rsidRPr="003D384C">
          <w:rPr>
            <w:rStyle w:val="Hyperlink"/>
          </w:rPr>
          <w:t>1.1.1.</w:t>
        </w:r>
        <w:r w:rsidR="00D706E2">
          <w:rPr>
            <w:rFonts w:asciiTheme="minorHAnsi" w:eastAsiaTheme="minorEastAsia" w:hAnsiTheme="minorHAnsi" w:cstheme="minorBidi"/>
            <w:sz w:val="22"/>
            <w:szCs w:val="22"/>
          </w:rPr>
          <w:tab/>
        </w:r>
        <w:r w:rsidR="00D706E2" w:rsidRPr="003D384C">
          <w:rPr>
            <w:rStyle w:val="Hyperlink"/>
          </w:rPr>
          <w:t>Αποστολή</w:t>
        </w:r>
        <w:r w:rsidR="00D706E2">
          <w:rPr>
            <w:webHidden/>
          </w:rPr>
          <w:tab/>
        </w:r>
        <w:r>
          <w:rPr>
            <w:webHidden/>
          </w:rPr>
          <w:fldChar w:fldCharType="begin"/>
        </w:r>
        <w:r w:rsidR="00D706E2">
          <w:rPr>
            <w:webHidden/>
          </w:rPr>
          <w:instrText xml:space="preserve"> PAGEREF _Toc383086779 \h </w:instrText>
        </w:r>
        <w:r>
          <w:rPr>
            <w:webHidden/>
          </w:rPr>
        </w:r>
        <w:r>
          <w:rPr>
            <w:webHidden/>
          </w:rPr>
          <w:fldChar w:fldCharType="separate"/>
        </w:r>
        <w:r w:rsidR="00D706E2">
          <w:rPr>
            <w:webHidden/>
          </w:rPr>
          <w:t>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80" w:history="1">
        <w:r w:rsidR="00D706E2" w:rsidRPr="003D384C">
          <w:rPr>
            <w:rStyle w:val="Hyperlink"/>
          </w:rPr>
          <w:t>1.1.2.</w:t>
        </w:r>
        <w:r w:rsidR="00D706E2">
          <w:rPr>
            <w:rFonts w:asciiTheme="minorHAnsi" w:eastAsiaTheme="minorEastAsia" w:hAnsiTheme="minorHAnsi" w:cstheme="minorBidi"/>
            <w:sz w:val="22"/>
            <w:szCs w:val="22"/>
          </w:rPr>
          <w:tab/>
        </w:r>
        <w:r w:rsidR="00D706E2" w:rsidRPr="003D384C">
          <w:rPr>
            <w:rStyle w:val="Hyperlink"/>
          </w:rPr>
          <w:t>Ανθρώπινο Δυναμικό / Διοίκηση</w:t>
        </w:r>
        <w:r w:rsidR="00D706E2">
          <w:rPr>
            <w:webHidden/>
          </w:rPr>
          <w:tab/>
        </w:r>
        <w:r>
          <w:rPr>
            <w:webHidden/>
          </w:rPr>
          <w:fldChar w:fldCharType="begin"/>
        </w:r>
        <w:r w:rsidR="00D706E2">
          <w:rPr>
            <w:webHidden/>
          </w:rPr>
          <w:instrText xml:space="preserve"> PAGEREF _Toc383086780 \h </w:instrText>
        </w:r>
        <w:r>
          <w:rPr>
            <w:webHidden/>
          </w:rPr>
        </w:r>
        <w:r>
          <w:rPr>
            <w:webHidden/>
          </w:rPr>
          <w:fldChar w:fldCharType="separate"/>
        </w:r>
        <w:r w:rsidR="00D706E2">
          <w:rPr>
            <w:webHidden/>
          </w:rPr>
          <w:t>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81" w:history="1">
        <w:r w:rsidR="00D706E2" w:rsidRPr="003D384C">
          <w:rPr>
            <w:rStyle w:val="Hyperlink"/>
          </w:rPr>
          <w:t>1.1.3.</w:t>
        </w:r>
        <w:r w:rsidR="00D706E2">
          <w:rPr>
            <w:rFonts w:asciiTheme="minorHAnsi" w:eastAsiaTheme="minorEastAsia" w:hAnsiTheme="minorHAnsi" w:cstheme="minorBidi"/>
            <w:sz w:val="22"/>
            <w:szCs w:val="22"/>
          </w:rPr>
          <w:tab/>
        </w:r>
        <w:r w:rsidR="00D706E2" w:rsidRPr="003D384C">
          <w:rPr>
            <w:rStyle w:val="Hyperlink"/>
          </w:rPr>
          <w:t>Δραστηριότητες Φαρμακευτικών Υπηρεσιών</w:t>
        </w:r>
        <w:r w:rsidR="00D706E2">
          <w:rPr>
            <w:webHidden/>
          </w:rPr>
          <w:tab/>
        </w:r>
        <w:r>
          <w:rPr>
            <w:webHidden/>
          </w:rPr>
          <w:fldChar w:fldCharType="begin"/>
        </w:r>
        <w:r w:rsidR="00D706E2">
          <w:rPr>
            <w:webHidden/>
          </w:rPr>
          <w:instrText xml:space="preserve"> PAGEREF _Toc383086781 \h </w:instrText>
        </w:r>
        <w:r>
          <w:rPr>
            <w:webHidden/>
          </w:rPr>
        </w:r>
        <w:r>
          <w:rPr>
            <w:webHidden/>
          </w:rPr>
          <w:fldChar w:fldCharType="separate"/>
        </w:r>
        <w:r w:rsidR="00D706E2">
          <w:rPr>
            <w:webHidden/>
          </w:rPr>
          <w:t>6</w:t>
        </w:r>
        <w:r>
          <w:rPr>
            <w:webHidden/>
          </w:rPr>
          <w:fldChar w:fldCharType="end"/>
        </w:r>
      </w:hyperlink>
    </w:p>
    <w:p w:rsidR="00D706E2" w:rsidRDefault="00774D0A">
      <w:pPr>
        <w:pStyle w:val="TOC2"/>
        <w:rPr>
          <w:rFonts w:asciiTheme="minorHAnsi" w:eastAsiaTheme="minorEastAsia" w:hAnsiTheme="minorHAnsi" w:cstheme="minorBidi"/>
          <w:b w:val="0"/>
          <w:sz w:val="22"/>
          <w:szCs w:val="22"/>
        </w:rPr>
      </w:pPr>
      <w:hyperlink w:anchor="_Toc383086782" w:history="1">
        <w:r w:rsidR="00D706E2" w:rsidRPr="003D384C">
          <w:rPr>
            <w:rStyle w:val="Hyperlink"/>
            <w:lang w:val="en-US"/>
          </w:rPr>
          <w:t>1.2</w:t>
        </w:r>
        <w:r w:rsidR="00D706E2">
          <w:rPr>
            <w:rFonts w:asciiTheme="minorHAnsi" w:eastAsiaTheme="minorEastAsia" w:hAnsiTheme="minorHAnsi" w:cstheme="minorBidi"/>
            <w:b w:val="0"/>
            <w:sz w:val="22"/>
            <w:szCs w:val="22"/>
          </w:rPr>
          <w:tab/>
        </w:r>
        <w:r w:rsidR="00D706E2" w:rsidRPr="003D384C">
          <w:rPr>
            <w:rStyle w:val="Hyperlink"/>
          </w:rPr>
          <w:t>Τομείς Φαρμακευτικών Υπηρεσιών</w:t>
        </w:r>
        <w:r w:rsidR="00D706E2">
          <w:rPr>
            <w:webHidden/>
          </w:rPr>
          <w:tab/>
        </w:r>
        <w:r>
          <w:rPr>
            <w:webHidden/>
          </w:rPr>
          <w:fldChar w:fldCharType="begin"/>
        </w:r>
        <w:r w:rsidR="00D706E2">
          <w:rPr>
            <w:webHidden/>
          </w:rPr>
          <w:instrText xml:space="preserve"> PAGEREF _Toc383086782 \h </w:instrText>
        </w:r>
        <w:r>
          <w:rPr>
            <w:webHidden/>
          </w:rPr>
        </w:r>
        <w:r>
          <w:rPr>
            <w:webHidden/>
          </w:rPr>
          <w:fldChar w:fldCharType="separate"/>
        </w:r>
        <w:r w:rsidR="00D706E2">
          <w:rPr>
            <w:webHidden/>
          </w:rPr>
          <w:t>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84" w:history="1">
        <w:r w:rsidR="00D706E2" w:rsidRPr="003D384C">
          <w:rPr>
            <w:rStyle w:val="Hyperlink"/>
          </w:rPr>
          <w:t>1.2.1.</w:t>
        </w:r>
        <w:r w:rsidR="00D706E2">
          <w:rPr>
            <w:rFonts w:asciiTheme="minorHAnsi" w:eastAsiaTheme="minorEastAsia" w:hAnsiTheme="minorHAnsi" w:cstheme="minorBidi"/>
            <w:sz w:val="22"/>
            <w:szCs w:val="22"/>
          </w:rPr>
          <w:tab/>
        </w:r>
        <w:r w:rsidR="00D706E2" w:rsidRPr="003D384C">
          <w:rPr>
            <w:rStyle w:val="Hyperlink"/>
          </w:rPr>
          <w:t>Τομέας Προμηθειών</w:t>
        </w:r>
        <w:r w:rsidR="00D706E2">
          <w:rPr>
            <w:webHidden/>
          </w:rPr>
          <w:tab/>
        </w:r>
        <w:r>
          <w:rPr>
            <w:webHidden/>
          </w:rPr>
          <w:fldChar w:fldCharType="begin"/>
        </w:r>
        <w:r w:rsidR="00D706E2">
          <w:rPr>
            <w:webHidden/>
          </w:rPr>
          <w:instrText xml:space="preserve"> PAGEREF _Toc383086784 \h </w:instrText>
        </w:r>
        <w:r>
          <w:rPr>
            <w:webHidden/>
          </w:rPr>
        </w:r>
        <w:r>
          <w:rPr>
            <w:webHidden/>
          </w:rPr>
          <w:fldChar w:fldCharType="separate"/>
        </w:r>
        <w:r w:rsidR="00D706E2">
          <w:rPr>
            <w:webHidden/>
          </w:rPr>
          <w:t>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85" w:history="1">
        <w:r w:rsidR="00D706E2" w:rsidRPr="003D384C">
          <w:rPr>
            <w:rStyle w:val="Hyperlink"/>
          </w:rPr>
          <w:t>1.2.2.</w:t>
        </w:r>
        <w:r w:rsidR="00D706E2">
          <w:rPr>
            <w:rFonts w:asciiTheme="minorHAnsi" w:eastAsiaTheme="minorEastAsia" w:hAnsiTheme="minorHAnsi" w:cstheme="minorBidi"/>
            <w:sz w:val="22"/>
            <w:szCs w:val="22"/>
          </w:rPr>
          <w:tab/>
        </w:r>
        <w:r w:rsidR="00D706E2" w:rsidRPr="003D384C">
          <w:rPr>
            <w:rStyle w:val="Hyperlink"/>
          </w:rPr>
          <w:t>Τομέας Φαρμακορρύθμισης (Αξιολόγησης και Εγγραφής των Φαρμάκων)</w:t>
        </w:r>
        <w:r w:rsidR="00D706E2">
          <w:rPr>
            <w:webHidden/>
          </w:rPr>
          <w:tab/>
        </w:r>
        <w:r>
          <w:rPr>
            <w:webHidden/>
          </w:rPr>
          <w:fldChar w:fldCharType="begin"/>
        </w:r>
        <w:r w:rsidR="00D706E2">
          <w:rPr>
            <w:webHidden/>
          </w:rPr>
          <w:instrText xml:space="preserve"> PAGEREF _Toc383086785 \h </w:instrText>
        </w:r>
        <w:r>
          <w:rPr>
            <w:webHidden/>
          </w:rPr>
        </w:r>
        <w:r>
          <w:rPr>
            <w:webHidden/>
          </w:rPr>
          <w:fldChar w:fldCharType="separate"/>
        </w:r>
        <w:r w:rsidR="00D706E2">
          <w:rPr>
            <w:webHidden/>
          </w:rPr>
          <w:t>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86" w:history="1">
        <w:r w:rsidR="00D706E2" w:rsidRPr="003D384C">
          <w:rPr>
            <w:rStyle w:val="Hyperlink"/>
          </w:rPr>
          <w:t>1.2.2.1</w:t>
        </w:r>
        <w:r w:rsidR="00D706E2">
          <w:rPr>
            <w:rFonts w:asciiTheme="minorHAnsi" w:eastAsiaTheme="minorEastAsia" w:hAnsiTheme="minorHAnsi" w:cstheme="minorBidi"/>
            <w:i w:val="0"/>
            <w:sz w:val="22"/>
            <w:szCs w:val="22"/>
          </w:rPr>
          <w:tab/>
        </w:r>
        <w:r w:rsidR="00D706E2" w:rsidRPr="003D384C">
          <w:rPr>
            <w:rStyle w:val="Hyperlink"/>
          </w:rPr>
          <w:t>Γενικά</w:t>
        </w:r>
        <w:r w:rsidR="00D706E2">
          <w:rPr>
            <w:webHidden/>
          </w:rPr>
          <w:tab/>
        </w:r>
        <w:r>
          <w:rPr>
            <w:webHidden/>
          </w:rPr>
          <w:fldChar w:fldCharType="begin"/>
        </w:r>
        <w:r w:rsidR="00D706E2">
          <w:rPr>
            <w:webHidden/>
          </w:rPr>
          <w:instrText xml:space="preserve"> PAGEREF _Toc383086786 \h </w:instrText>
        </w:r>
        <w:r>
          <w:rPr>
            <w:webHidden/>
          </w:rPr>
        </w:r>
        <w:r>
          <w:rPr>
            <w:webHidden/>
          </w:rPr>
          <w:fldChar w:fldCharType="separate"/>
        </w:r>
        <w:r w:rsidR="00D706E2">
          <w:rPr>
            <w:webHidden/>
          </w:rPr>
          <w:t>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87" w:history="1">
        <w:r w:rsidR="00D706E2" w:rsidRPr="003D384C">
          <w:rPr>
            <w:rStyle w:val="Hyperlink"/>
          </w:rPr>
          <w:t>1.2.2.2</w:t>
        </w:r>
        <w:r w:rsidR="00D706E2">
          <w:rPr>
            <w:rFonts w:asciiTheme="minorHAnsi" w:eastAsiaTheme="minorEastAsia" w:hAnsiTheme="minorHAnsi" w:cstheme="minorBidi"/>
            <w:i w:val="0"/>
            <w:sz w:val="22"/>
            <w:szCs w:val="22"/>
          </w:rPr>
          <w:tab/>
        </w:r>
        <w:r w:rsidR="00D706E2" w:rsidRPr="003D384C">
          <w:rPr>
            <w:rStyle w:val="Hyperlink"/>
          </w:rPr>
          <w:t>Σύνοψη Διεργασιών 2012</w:t>
        </w:r>
        <w:r w:rsidR="00D706E2">
          <w:rPr>
            <w:webHidden/>
          </w:rPr>
          <w:tab/>
        </w:r>
        <w:r>
          <w:rPr>
            <w:webHidden/>
          </w:rPr>
          <w:fldChar w:fldCharType="begin"/>
        </w:r>
        <w:r w:rsidR="00D706E2">
          <w:rPr>
            <w:webHidden/>
          </w:rPr>
          <w:instrText xml:space="preserve"> PAGEREF _Toc383086787 \h </w:instrText>
        </w:r>
        <w:r>
          <w:rPr>
            <w:webHidden/>
          </w:rPr>
        </w:r>
        <w:r>
          <w:rPr>
            <w:webHidden/>
          </w:rPr>
          <w:fldChar w:fldCharType="separate"/>
        </w:r>
        <w:r w:rsidR="00D706E2">
          <w:rPr>
            <w:webHidden/>
          </w:rPr>
          <w:t>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88" w:history="1">
        <w:r w:rsidR="00D706E2" w:rsidRPr="003D384C">
          <w:rPr>
            <w:rStyle w:val="Hyperlink"/>
          </w:rPr>
          <w:t>1.2.2.3</w:t>
        </w:r>
        <w:r w:rsidR="00D706E2">
          <w:rPr>
            <w:rFonts w:asciiTheme="minorHAnsi" w:eastAsiaTheme="minorEastAsia" w:hAnsiTheme="minorHAnsi" w:cstheme="minorBidi"/>
            <w:i w:val="0"/>
            <w:sz w:val="22"/>
            <w:szCs w:val="22"/>
          </w:rPr>
          <w:tab/>
        </w:r>
        <w:r w:rsidR="00D706E2" w:rsidRPr="003D384C">
          <w:rPr>
            <w:rStyle w:val="Hyperlink"/>
          </w:rPr>
          <w:t>Κυπριακή Προεδρία του Συμβουλίου της Ευρωπαϊκής Ένωσης</w:t>
        </w:r>
        <w:r w:rsidR="00D706E2">
          <w:rPr>
            <w:webHidden/>
          </w:rPr>
          <w:tab/>
        </w:r>
        <w:r>
          <w:rPr>
            <w:webHidden/>
          </w:rPr>
          <w:fldChar w:fldCharType="begin"/>
        </w:r>
        <w:r w:rsidR="00D706E2">
          <w:rPr>
            <w:webHidden/>
          </w:rPr>
          <w:instrText xml:space="preserve"> PAGEREF _Toc383086788 \h </w:instrText>
        </w:r>
        <w:r>
          <w:rPr>
            <w:webHidden/>
          </w:rPr>
        </w:r>
        <w:r>
          <w:rPr>
            <w:webHidden/>
          </w:rPr>
          <w:fldChar w:fldCharType="separate"/>
        </w:r>
        <w:r w:rsidR="00D706E2">
          <w:rPr>
            <w:webHidden/>
          </w:rPr>
          <w:t>10</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89" w:history="1">
        <w:r w:rsidR="00D706E2" w:rsidRPr="003D384C">
          <w:rPr>
            <w:rStyle w:val="Hyperlink"/>
          </w:rPr>
          <w:t>1.2.2.4</w:t>
        </w:r>
        <w:r w:rsidR="00D706E2">
          <w:rPr>
            <w:rFonts w:asciiTheme="minorHAnsi" w:eastAsiaTheme="minorEastAsia" w:hAnsiTheme="minorHAnsi" w:cstheme="minorBidi"/>
            <w:i w:val="0"/>
            <w:sz w:val="22"/>
            <w:szCs w:val="22"/>
          </w:rPr>
          <w:tab/>
        </w:r>
        <w:r w:rsidR="00D706E2" w:rsidRPr="003D384C">
          <w:rPr>
            <w:rStyle w:val="Hyperlink"/>
          </w:rPr>
          <w:t>Διαπίστευση του Τομέα Φαρμακορρύθμισης</w:t>
        </w:r>
        <w:r w:rsidR="00D706E2">
          <w:rPr>
            <w:webHidden/>
          </w:rPr>
          <w:tab/>
        </w:r>
        <w:r>
          <w:rPr>
            <w:webHidden/>
          </w:rPr>
          <w:fldChar w:fldCharType="begin"/>
        </w:r>
        <w:r w:rsidR="00D706E2">
          <w:rPr>
            <w:webHidden/>
          </w:rPr>
          <w:instrText xml:space="preserve"> PAGEREF _Toc383086789 \h </w:instrText>
        </w:r>
        <w:r>
          <w:rPr>
            <w:webHidden/>
          </w:rPr>
        </w:r>
        <w:r>
          <w:rPr>
            <w:webHidden/>
          </w:rPr>
          <w:fldChar w:fldCharType="separate"/>
        </w:r>
        <w:r w:rsidR="00D706E2">
          <w:rPr>
            <w:webHidden/>
          </w:rPr>
          <w:t>11</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0" w:history="1">
        <w:r w:rsidR="00D706E2" w:rsidRPr="003D384C">
          <w:rPr>
            <w:rStyle w:val="Hyperlink"/>
          </w:rPr>
          <w:t>1.2.2.5</w:t>
        </w:r>
        <w:r w:rsidR="00D706E2">
          <w:rPr>
            <w:rFonts w:asciiTheme="minorHAnsi" w:eastAsiaTheme="minorEastAsia" w:hAnsiTheme="minorHAnsi" w:cstheme="minorBidi"/>
            <w:i w:val="0"/>
            <w:sz w:val="22"/>
            <w:szCs w:val="22"/>
          </w:rPr>
          <w:tab/>
        </w:r>
        <w:r w:rsidR="00D706E2" w:rsidRPr="003D384C">
          <w:rPr>
            <w:rStyle w:val="Hyperlink"/>
          </w:rPr>
          <w:t>Έκδοση Αδειών Κυκλοφορίας</w:t>
        </w:r>
        <w:r w:rsidR="00D706E2">
          <w:rPr>
            <w:webHidden/>
          </w:rPr>
          <w:tab/>
        </w:r>
        <w:r>
          <w:rPr>
            <w:webHidden/>
          </w:rPr>
          <w:fldChar w:fldCharType="begin"/>
        </w:r>
        <w:r w:rsidR="00D706E2">
          <w:rPr>
            <w:webHidden/>
          </w:rPr>
          <w:instrText xml:space="preserve"> PAGEREF _Toc383086790 \h </w:instrText>
        </w:r>
        <w:r>
          <w:rPr>
            <w:webHidden/>
          </w:rPr>
        </w:r>
        <w:r>
          <w:rPr>
            <w:webHidden/>
          </w:rPr>
          <w:fldChar w:fldCharType="separate"/>
        </w:r>
        <w:r w:rsidR="00D706E2">
          <w:rPr>
            <w:webHidden/>
          </w:rPr>
          <w:t>11</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1" w:history="1">
        <w:r w:rsidR="00D706E2" w:rsidRPr="003D384C">
          <w:rPr>
            <w:rStyle w:val="Hyperlink"/>
          </w:rPr>
          <w:t>1.2.2.6</w:t>
        </w:r>
        <w:r w:rsidR="00D706E2">
          <w:rPr>
            <w:rFonts w:asciiTheme="minorHAnsi" w:eastAsiaTheme="minorEastAsia" w:hAnsiTheme="minorHAnsi" w:cstheme="minorBidi"/>
            <w:i w:val="0"/>
            <w:sz w:val="22"/>
            <w:szCs w:val="22"/>
          </w:rPr>
          <w:tab/>
        </w:r>
        <w:r w:rsidR="00D706E2" w:rsidRPr="003D384C">
          <w:rPr>
            <w:rStyle w:val="Hyperlink"/>
          </w:rPr>
          <w:t>Έκδοση Αδειών Παρασκευής/ Χονδρικής Πώλησης και Εισαγωγής από Τρίτες Χώρες</w:t>
        </w:r>
        <w:r w:rsidR="00D706E2">
          <w:rPr>
            <w:webHidden/>
          </w:rPr>
          <w:tab/>
        </w:r>
        <w:r>
          <w:rPr>
            <w:webHidden/>
          </w:rPr>
          <w:fldChar w:fldCharType="begin"/>
        </w:r>
        <w:r w:rsidR="00D706E2">
          <w:rPr>
            <w:webHidden/>
          </w:rPr>
          <w:instrText xml:space="preserve"> PAGEREF _Toc383086791 \h </w:instrText>
        </w:r>
        <w:r>
          <w:rPr>
            <w:webHidden/>
          </w:rPr>
        </w:r>
        <w:r>
          <w:rPr>
            <w:webHidden/>
          </w:rPr>
          <w:fldChar w:fldCharType="separate"/>
        </w:r>
        <w:r w:rsidR="00D706E2">
          <w:rPr>
            <w:webHidden/>
          </w:rPr>
          <w:t>15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2" w:history="1">
        <w:r w:rsidR="00D706E2" w:rsidRPr="003D384C">
          <w:rPr>
            <w:rStyle w:val="Hyperlink"/>
          </w:rPr>
          <w:t>1.2.2.7</w:t>
        </w:r>
        <w:r w:rsidR="00D706E2">
          <w:rPr>
            <w:rFonts w:asciiTheme="minorHAnsi" w:eastAsiaTheme="minorEastAsia" w:hAnsiTheme="minorHAnsi" w:cstheme="minorBidi"/>
            <w:i w:val="0"/>
            <w:sz w:val="22"/>
            <w:szCs w:val="22"/>
          </w:rPr>
          <w:tab/>
        </w:r>
        <w:r w:rsidR="00D706E2" w:rsidRPr="003D384C">
          <w:rPr>
            <w:rStyle w:val="Hyperlink"/>
          </w:rPr>
          <w:t>Άλλες εργασίες που σχετίζονται με τη Επιθεώρηση κανόνων Ορθής Παρασκευαστικής Πρακτικής (Κ.Ο.Π.Π.)</w:t>
        </w:r>
        <w:r w:rsidR="00D706E2">
          <w:rPr>
            <w:webHidden/>
          </w:rPr>
          <w:tab/>
        </w:r>
        <w:r>
          <w:rPr>
            <w:webHidden/>
          </w:rPr>
          <w:fldChar w:fldCharType="begin"/>
        </w:r>
        <w:r w:rsidR="00D706E2">
          <w:rPr>
            <w:webHidden/>
          </w:rPr>
          <w:instrText xml:space="preserve"> PAGEREF _Toc383086792 \h </w:instrText>
        </w:r>
        <w:r>
          <w:rPr>
            <w:webHidden/>
          </w:rPr>
        </w:r>
        <w:r>
          <w:rPr>
            <w:webHidden/>
          </w:rPr>
          <w:fldChar w:fldCharType="separate"/>
        </w:r>
        <w:r w:rsidR="00D706E2">
          <w:rPr>
            <w:webHidden/>
          </w:rPr>
          <w:t>18</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3" w:history="1">
        <w:r w:rsidR="00D706E2" w:rsidRPr="003D384C">
          <w:rPr>
            <w:rStyle w:val="Hyperlink"/>
          </w:rPr>
          <w:t>1.2.2.8</w:t>
        </w:r>
        <w:r w:rsidR="00D706E2">
          <w:rPr>
            <w:rFonts w:asciiTheme="minorHAnsi" w:eastAsiaTheme="minorEastAsia" w:hAnsiTheme="minorHAnsi" w:cstheme="minorBidi"/>
            <w:i w:val="0"/>
            <w:sz w:val="22"/>
            <w:szCs w:val="22"/>
          </w:rPr>
          <w:tab/>
        </w:r>
        <w:r w:rsidR="00D706E2" w:rsidRPr="003D384C">
          <w:rPr>
            <w:rStyle w:val="Hyperlink"/>
          </w:rPr>
          <w:t>Τμήμα Φαρμακοεπαγρύπνησης</w:t>
        </w:r>
        <w:r w:rsidR="00D706E2">
          <w:rPr>
            <w:webHidden/>
          </w:rPr>
          <w:tab/>
        </w:r>
        <w:r>
          <w:rPr>
            <w:webHidden/>
          </w:rPr>
          <w:fldChar w:fldCharType="begin"/>
        </w:r>
        <w:r w:rsidR="00D706E2">
          <w:rPr>
            <w:webHidden/>
          </w:rPr>
          <w:instrText xml:space="preserve"> PAGEREF _Toc383086793 \h </w:instrText>
        </w:r>
        <w:r>
          <w:rPr>
            <w:webHidden/>
          </w:rPr>
        </w:r>
        <w:r>
          <w:rPr>
            <w:webHidden/>
          </w:rPr>
          <w:fldChar w:fldCharType="separate"/>
        </w:r>
        <w:r w:rsidR="00D706E2">
          <w:rPr>
            <w:webHidden/>
          </w:rPr>
          <w:t>21</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4" w:history="1">
        <w:r w:rsidR="00D706E2" w:rsidRPr="003D384C">
          <w:rPr>
            <w:rStyle w:val="Hyperlink"/>
          </w:rPr>
          <w:t>1.2.2.9</w:t>
        </w:r>
        <w:r w:rsidR="00D706E2">
          <w:rPr>
            <w:rFonts w:asciiTheme="minorHAnsi" w:eastAsiaTheme="minorEastAsia" w:hAnsiTheme="minorHAnsi" w:cstheme="minorBidi"/>
            <w:i w:val="0"/>
            <w:sz w:val="22"/>
            <w:szCs w:val="22"/>
          </w:rPr>
          <w:tab/>
        </w:r>
        <w:r w:rsidR="00D706E2" w:rsidRPr="003D384C">
          <w:rPr>
            <w:rStyle w:val="Hyperlink"/>
          </w:rPr>
          <w:t>Συμμετοχή σε Επιτροπές στην Κύπρο και στο εξωτερικό</w:t>
        </w:r>
        <w:r w:rsidR="00D706E2">
          <w:rPr>
            <w:webHidden/>
          </w:rPr>
          <w:tab/>
        </w:r>
        <w:r>
          <w:rPr>
            <w:webHidden/>
          </w:rPr>
          <w:fldChar w:fldCharType="begin"/>
        </w:r>
        <w:r w:rsidR="00D706E2">
          <w:rPr>
            <w:webHidden/>
          </w:rPr>
          <w:instrText xml:space="preserve"> PAGEREF _Toc383086794 \h </w:instrText>
        </w:r>
        <w:r>
          <w:rPr>
            <w:webHidden/>
          </w:rPr>
        </w:r>
        <w:r>
          <w:rPr>
            <w:webHidden/>
          </w:rPr>
          <w:fldChar w:fldCharType="separate"/>
        </w:r>
        <w:r w:rsidR="00D706E2">
          <w:rPr>
            <w:webHidden/>
          </w:rPr>
          <w:t>22</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5" w:history="1">
        <w:r w:rsidR="00D706E2" w:rsidRPr="003D384C">
          <w:rPr>
            <w:rStyle w:val="Hyperlink"/>
            <w:rFonts w:ascii="Calibri" w:hAnsi="Calibri"/>
          </w:rPr>
          <w:t>1.2.2.10</w:t>
        </w:r>
        <w:r w:rsidR="00D706E2">
          <w:rPr>
            <w:rFonts w:asciiTheme="minorHAnsi" w:eastAsiaTheme="minorEastAsia" w:hAnsiTheme="minorHAnsi" w:cstheme="minorBidi"/>
            <w:i w:val="0"/>
            <w:sz w:val="22"/>
            <w:szCs w:val="22"/>
          </w:rPr>
          <w:tab/>
        </w:r>
        <w:r w:rsidR="00D706E2" w:rsidRPr="003D384C">
          <w:rPr>
            <w:rStyle w:val="Hyperlink"/>
            <w:lang w:eastAsia="en-US"/>
          </w:rPr>
          <w:t>Έλεγχος πιστοποιητικών  </w:t>
        </w:r>
        <w:r w:rsidR="00D706E2" w:rsidRPr="003D384C">
          <w:rPr>
            <w:rStyle w:val="Hyperlink"/>
            <w:lang w:val="en-US" w:eastAsia="en-US"/>
          </w:rPr>
          <w:t>OCABR</w:t>
        </w:r>
        <w:r w:rsidR="00D706E2" w:rsidRPr="003D384C">
          <w:rPr>
            <w:rStyle w:val="Hyperlink"/>
            <w:lang w:eastAsia="en-US"/>
          </w:rPr>
          <w:t xml:space="preserve"> ( </w:t>
        </w:r>
        <w:r w:rsidR="00D706E2" w:rsidRPr="003D384C">
          <w:rPr>
            <w:rStyle w:val="Hyperlink"/>
            <w:lang w:val="en-US" w:eastAsia="en-US"/>
          </w:rPr>
          <w:t>Official</w:t>
        </w:r>
        <w:r w:rsidR="00D706E2" w:rsidRPr="003D384C">
          <w:rPr>
            <w:rStyle w:val="Hyperlink"/>
            <w:lang w:eastAsia="en-US"/>
          </w:rPr>
          <w:t xml:space="preserve"> </w:t>
        </w:r>
        <w:r w:rsidR="00D706E2" w:rsidRPr="003D384C">
          <w:rPr>
            <w:rStyle w:val="Hyperlink"/>
            <w:lang w:val="en-US" w:eastAsia="en-US"/>
          </w:rPr>
          <w:t>Control</w:t>
        </w:r>
        <w:r w:rsidR="00D706E2" w:rsidRPr="003D384C">
          <w:rPr>
            <w:rStyle w:val="Hyperlink"/>
            <w:lang w:eastAsia="en-US"/>
          </w:rPr>
          <w:t xml:space="preserve"> </w:t>
        </w:r>
        <w:r w:rsidR="00D706E2" w:rsidRPr="003D384C">
          <w:rPr>
            <w:rStyle w:val="Hyperlink"/>
            <w:lang w:val="en-US" w:eastAsia="en-US"/>
          </w:rPr>
          <w:t>Authority</w:t>
        </w:r>
        <w:r w:rsidR="00D706E2" w:rsidRPr="003D384C">
          <w:rPr>
            <w:rStyle w:val="Hyperlink"/>
            <w:lang w:eastAsia="en-US"/>
          </w:rPr>
          <w:t xml:space="preserve"> </w:t>
        </w:r>
        <w:r w:rsidR="00D706E2" w:rsidRPr="003D384C">
          <w:rPr>
            <w:rStyle w:val="Hyperlink"/>
            <w:lang w:val="en-US" w:eastAsia="en-US"/>
          </w:rPr>
          <w:t>Batch</w:t>
        </w:r>
        <w:r w:rsidR="00D706E2" w:rsidRPr="003D384C">
          <w:rPr>
            <w:rStyle w:val="Hyperlink"/>
            <w:lang w:eastAsia="en-US"/>
          </w:rPr>
          <w:t xml:space="preserve"> </w:t>
        </w:r>
        <w:r w:rsidR="00D706E2" w:rsidRPr="003D384C">
          <w:rPr>
            <w:rStyle w:val="Hyperlink"/>
            <w:lang w:val="en-US" w:eastAsia="en-US"/>
          </w:rPr>
          <w:t>Release</w:t>
        </w:r>
        <w:r w:rsidR="00D706E2" w:rsidRPr="003D384C">
          <w:rPr>
            <w:rStyle w:val="Hyperlink"/>
            <w:lang w:eastAsia="en-US"/>
          </w:rPr>
          <w:t>) και πιστοποιητικών απελευθέρωσης παρτίδων για προϊόντα με βάση το αίμα ή το πλάσμα αίματος και  ανοσολογικά φαρμακευτικά προϊόντα</w:t>
        </w:r>
        <w:r w:rsidR="00D706E2" w:rsidRPr="003D384C">
          <w:rPr>
            <w:rStyle w:val="Hyperlink"/>
            <w:rFonts w:ascii="Calibri" w:hAnsi="Calibri"/>
            <w:lang w:eastAsia="en-US"/>
          </w:rPr>
          <w:t>.</w:t>
        </w:r>
        <w:r w:rsidR="00D706E2">
          <w:rPr>
            <w:webHidden/>
          </w:rPr>
          <w:tab/>
        </w:r>
        <w:r>
          <w:rPr>
            <w:webHidden/>
          </w:rPr>
          <w:fldChar w:fldCharType="begin"/>
        </w:r>
        <w:r w:rsidR="00D706E2">
          <w:rPr>
            <w:webHidden/>
          </w:rPr>
          <w:instrText xml:space="preserve"> PAGEREF _Toc383086795 \h </w:instrText>
        </w:r>
        <w:r>
          <w:rPr>
            <w:webHidden/>
          </w:rPr>
        </w:r>
        <w:r>
          <w:rPr>
            <w:webHidden/>
          </w:rPr>
          <w:fldChar w:fldCharType="separate"/>
        </w:r>
        <w:r w:rsidR="00D706E2">
          <w:rPr>
            <w:webHidden/>
          </w:rPr>
          <w:t>23</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796" w:history="1">
        <w:r w:rsidR="00D706E2" w:rsidRPr="003D384C">
          <w:rPr>
            <w:rStyle w:val="Hyperlink"/>
          </w:rPr>
          <w:t>1.2.3.</w:t>
        </w:r>
        <w:r w:rsidR="00D706E2">
          <w:rPr>
            <w:rFonts w:asciiTheme="minorHAnsi" w:eastAsiaTheme="minorEastAsia" w:hAnsiTheme="minorHAnsi" w:cstheme="minorBidi"/>
            <w:sz w:val="22"/>
            <w:szCs w:val="22"/>
          </w:rPr>
          <w:tab/>
        </w:r>
        <w:r w:rsidR="00D706E2" w:rsidRPr="003D384C">
          <w:rPr>
            <w:rStyle w:val="Hyperlink"/>
          </w:rPr>
          <w:t>Τομέας Επιθεώρησης</w:t>
        </w:r>
        <w:r w:rsidR="00D706E2">
          <w:rPr>
            <w:webHidden/>
          </w:rPr>
          <w:tab/>
        </w:r>
        <w:r>
          <w:rPr>
            <w:webHidden/>
          </w:rPr>
          <w:fldChar w:fldCharType="begin"/>
        </w:r>
        <w:r w:rsidR="00D706E2">
          <w:rPr>
            <w:webHidden/>
          </w:rPr>
          <w:instrText xml:space="preserve"> PAGEREF _Toc383086796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7" w:history="1">
        <w:r w:rsidR="00D706E2" w:rsidRPr="003D384C">
          <w:rPr>
            <w:rStyle w:val="Hyperlink"/>
          </w:rPr>
          <w:t>1.2.3.1</w:t>
        </w:r>
        <w:r w:rsidR="00D706E2">
          <w:rPr>
            <w:rFonts w:asciiTheme="minorHAnsi" w:eastAsiaTheme="minorEastAsia" w:hAnsiTheme="minorHAnsi" w:cstheme="minorBidi"/>
            <w:i w:val="0"/>
            <w:sz w:val="22"/>
            <w:szCs w:val="22"/>
          </w:rPr>
          <w:tab/>
        </w:r>
        <w:r w:rsidR="00D706E2" w:rsidRPr="003D384C">
          <w:rPr>
            <w:rStyle w:val="Hyperlink"/>
          </w:rPr>
          <w:t>Έλεγχος Ιδιωτικών Φαρμακείων</w:t>
        </w:r>
        <w:r w:rsidR="00D706E2">
          <w:rPr>
            <w:webHidden/>
          </w:rPr>
          <w:tab/>
        </w:r>
        <w:r>
          <w:rPr>
            <w:webHidden/>
          </w:rPr>
          <w:fldChar w:fldCharType="begin"/>
        </w:r>
        <w:r w:rsidR="00D706E2">
          <w:rPr>
            <w:webHidden/>
          </w:rPr>
          <w:instrText xml:space="preserve"> PAGEREF _Toc383086797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8" w:history="1">
        <w:r w:rsidR="00D706E2" w:rsidRPr="003D384C">
          <w:rPr>
            <w:rStyle w:val="Hyperlink"/>
          </w:rPr>
          <w:t>1.2.3.2</w:t>
        </w:r>
        <w:r w:rsidR="00D706E2">
          <w:rPr>
            <w:rFonts w:asciiTheme="minorHAnsi" w:eastAsiaTheme="minorEastAsia" w:hAnsiTheme="minorHAnsi" w:cstheme="minorBidi"/>
            <w:i w:val="0"/>
            <w:sz w:val="22"/>
            <w:szCs w:val="22"/>
          </w:rPr>
          <w:tab/>
        </w:r>
        <w:r w:rsidR="00D706E2" w:rsidRPr="003D384C">
          <w:rPr>
            <w:rStyle w:val="Hyperlink"/>
          </w:rPr>
          <w:t>Έγκριση λειτουργίας Νέων Φαρμακείων</w:t>
        </w:r>
        <w:r w:rsidR="00D706E2">
          <w:rPr>
            <w:webHidden/>
          </w:rPr>
          <w:tab/>
        </w:r>
        <w:r>
          <w:rPr>
            <w:webHidden/>
          </w:rPr>
          <w:fldChar w:fldCharType="begin"/>
        </w:r>
        <w:r w:rsidR="00D706E2">
          <w:rPr>
            <w:webHidden/>
          </w:rPr>
          <w:instrText xml:space="preserve"> PAGEREF _Toc383086798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799" w:history="1">
        <w:r w:rsidR="00D706E2" w:rsidRPr="003D384C">
          <w:rPr>
            <w:rStyle w:val="Hyperlink"/>
          </w:rPr>
          <w:t>1.2.3.3</w:t>
        </w:r>
        <w:r w:rsidR="00D706E2">
          <w:rPr>
            <w:rFonts w:asciiTheme="minorHAnsi" w:eastAsiaTheme="minorEastAsia" w:hAnsiTheme="minorHAnsi" w:cstheme="minorBidi"/>
            <w:i w:val="0"/>
            <w:sz w:val="22"/>
            <w:szCs w:val="22"/>
          </w:rPr>
          <w:tab/>
        </w:r>
        <w:r w:rsidR="00D706E2" w:rsidRPr="003D384C">
          <w:rPr>
            <w:rStyle w:val="Hyperlink"/>
          </w:rPr>
          <w:t>Αναστολή Λειτουργίας Φαρμακείων</w:t>
        </w:r>
        <w:r w:rsidR="00D706E2">
          <w:rPr>
            <w:webHidden/>
          </w:rPr>
          <w:tab/>
        </w:r>
        <w:r>
          <w:rPr>
            <w:webHidden/>
          </w:rPr>
          <w:fldChar w:fldCharType="begin"/>
        </w:r>
        <w:r w:rsidR="00D706E2">
          <w:rPr>
            <w:webHidden/>
          </w:rPr>
          <w:instrText xml:space="preserve"> PAGEREF _Toc383086799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0" w:history="1">
        <w:r w:rsidR="00D706E2" w:rsidRPr="003D384C">
          <w:rPr>
            <w:rStyle w:val="Hyperlink"/>
          </w:rPr>
          <w:t>1.2.3.4</w:t>
        </w:r>
        <w:r w:rsidR="00D706E2">
          <w:rPr>
            <w:rFonts w:asciiTheme="minorHAnsi" w:eastAsiaTheme="minorEastAsia" w:hAnsiTheme="minorHAnsi" w:cstheme="minorBidi"/>
            <w:i w:val="0"/>
            <w:sz w:val="22"/>
            <w:szCs w:val="22"/>
          </w:rPr>
          <w:tab/>
        </w:r>
        <w:r w:rsidR="00D706E2" w:rsidRPr="003D384C">
          <w:rPr>
            <w:rStyle w:val="Hyperlink"/>
          </w:rPr>
          <w:t>Τήρηση Μητρώου Φαρμακείων</w:t>
        </w:r>
        <w:r w:rsidR="00D706E2">
          <w:rPr>
            <w:webHidden/>
          </w:rPr>
          <w:tab/>
        </w:r>
        <w:r>
          <w:rPr>
            <w:webHidden/>
          </w:rPr>
          <w:fldChar w:fldCharType="begin"/>
        </w:r>
        <w:r w:rsidR="00D706E2">
          <w:rPr>
            <w:webHidden/>
          </w:rPr>
          <w:instrText xml:space="preserve"> PAGEREF _Toc383086800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1" w:history="1">
        <w:r w:rsidR="00D706E2" w:rsidRPr="003D384C">
          <w:rPr>
            <w:rStyle w:val="Hyperlink"/>
          </w:rPr>
          <w:t>1.2.3.5</w:t>
        </w:r>
        <w:r w:rsidR="00D706E2">
          <w:rPr>
            <w:rFonts w:asciiTheme="minorHAnsi" w:eastAsiaTheme="minorEastAsia" w:hAnsiTheme="minorHAnsi" w:cstheme="minorBidi"/>
            <w:i w:val="0"/>
            <w:sz w:val="22"/>
            <w:szCs w:val="22"/>
          </w:rPr>
          <w:tab/>
        </w:r>
        <w:r w:rsidR="00D706E2" w:rsidRPr="003D384C">
          <w:rPr>
            <w:rStyle w:val="Hyperlink"/>
          </w:rPr>
          <w:t>Εγγραφή Νέων Φαρμακοποιών και τήρηση του Μητρώου</w:t>
        </w:r>
        <w:r w:rsidR="00D706E2">
          <w:rPr>
            <w:webHidden/>
          </w:rPr>
          <w:tab/>
        </w:r>
        <w:r>
          <w:rPr>
            <w:webHidden/>
          </w:rPr>
          <w:fldChar w:fldCharType="begin"/>
        </w:r>
        <w:r w:rsidR="00D706E2">
          <w:rPr>
            <w:webHidden/>
          </w:rPr>
          <w:instrText xml:space="preserve"> PAGEREF _Toc383086801 \h </w:instrText>
        </w:r>
        <w:r>
          <w:rPr>
            <w:webHidden/>
          </w:rPr>
        </w:r>
        <w:r>
          <w:rPr>
            <w:webHidden/>
          </w:rPr>
          <w:fldChar w:fldCharType="separate"/>
        </w:r>
        <w:r w:rsidR="00D706E2">
          <w:rPr>
            <w:webHidden/>
          </w:rPr>
          <w:t>24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2" w:history="1">
        <w:r w:rsidR="00D706E2" w:rsidRPr="003D384C">
          <w:rPr>
            <w:rStyle w:val="Hyperlink"/>
          </w:rPr>
          <w:t>1.2.3.6</w:t>
        </w:r>
        <w:r w:rsidR="00D706E2">
          <w:rPr>
            <w:rFonts w:asciiTheme="minorHAnsi" w:eastAsiaTheme="minorEastAsia" w:hAnsiTheme="minorHAnsi" w:cstheme="minorBidi"/>
            <w:i w:val="0"/>
            <w:sz w:val="22"/>
            <w:szCs w:val="22"/>
          </w:rPr>
          <w:tab/>
        </w:r>
        <w:r w:rsidR="00D706E2" w:rsidRPr="003D384C">
          <w:rPr>
            <w:rStyle w:val="Hyperlink"/>
          </w:rPr>
          <w:t>Ετοιμασία και Δημοσίευση Διημερεύσεων Ιδιωτικών Φαρμακείων</w:t>
        </w:r>
        <w:r w:rsidR="00D706E2">
          <w:rPr>
            <w:webHidden/>
          </w:rPr>
          <w:tab/>
        </w:r>
        <w:r>
          <w:rPr>
            <w:webHidden/>
          </w:rPr>
          <w:fldChar w:fldCharType="begin"/>
        </w:r>
        <w:r w:rsidR="00D706E2">
          <w:rPr>
            <w:webHidden/>
          </w:rPr>
          <w:instrText xml:space="preserve"> PAGEREF _Toc383086802 \h </w:instrText>
        </w:r>
        <w:r>
          <w:rPr>
            <w:webHidden/>
          </w:rPr>
        </w:r>
        <w:r>
          <w:rPr>
            <w:webHidden/>
          </w:rPr>
          <w:fldChar w:fldCharType="separate"/>
        </w:r>
        <w:r w:rsidR="00D706E2">
          <w:rPr>
            <w:webHidden/>
          </w:rPr>
          <w:t>25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3" w:history="1">
        <w:r w:rsidR="00D706E2" w:rsidRPr="003D384C">
          <w:rPr>
            <w:rStyle w:val="Hyperlink"/>
          </w:rPr>
          <w:t>1.2.3.7</w:t>
        </w:r>
        <w:r w:rsidR="00D706E2">
          <w:rPr>
            <w:rFonts w:asciiTheme="minorHAnsi" w:eastAsiaTheme="minorEastAsia" w:hAnsiTheme="minorHAnsi" w:cstheme="minorBidi"/>
            <w:i w:val="0"/>
            <w:sz w:val="22"/>
            <w:szCs w:val="22"/>
          </w:rPr>
          <w:tab/>
        </w:r>
        <w:r w:rsidR="00D706E2" w:rsidRPr="003D384C">
          <w:rPr>
            <w:rStyle w:val="Hyperlink"/>
          </w:rPr>
          <w:t>Ετοιμασία και Δημοσίευση των Καλοκαιρινών Αδειών των Φαρμακείων</w:t>
        </w:r>
        <w:r w:rsidR="00D706E2">
          <w:rPr>
            <w:webHidden/>
          </w:rPr>
          <w:tab/>
        </w:r>
        <w:r>
          <w:rPr>
            <w:webHidden/>
          </w:rPr>
          <w:fldChar w:fldCharType="begin"/>
        </w:r>
        <w:r w:rsidR="00D706E2">
          <w:rPr>
            <w:webHidden/>
          </w:rPr>
          <w:instrText xml:space="preserve"> PAGEREF _Toc383086803 \h </w:instrText>
        </w:r>
        <w:r>
          <w:rPr>
            <w:webHidden/>
          </w:rPr>
        </w:r>
        <w:r>
          <w:rPr>
            <w:webHidden/>
          </w:rPr>
          <w:fldChar w:fldCharType="separate"/>
        </w:r>
        <w:r w:rsidR="00D706E2">
          <w:rPr>
            <w:webHidden/>
          </w:rPr>
          <w:t>25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4" w:history="1">
        <w:r w:rsidR="00D706E2" w:rsidRPr="003D384C">
          <w:rPr>
            <w:rStyle w:val="Hyperlink"/>
          </w:rPr>
          <w:t>1.2.3.8</w:t>
        </w:r>
        <w:r w:rsidR="00D706E2">
          <w:rPr>
            <w:rFonts w:asciiTheme="minorHAnsi" w:eastAsiaTheme="minorEastAsia" w:hAnsiTheme="minorHAnsi" w:cstheme="minorBidi"/>
            <w:i w:val="0"/>
            <w:sz w:val="22"/>
            <w:szCs w:val="22"/>
          </w:rPr>
          <w:tab/>
        </w:r>
        <w:r w:rsidR="00D706E2" w:rsidRPr="003D384C">
          <w:rPr>
            <w:rStyle w:val="Hyperlink"/>
          </w:rPr>
          <w:t>Έκδοση Αδειών Εισαγωγής Ναρκωτικών Φαρμάκων, Ψυχοτρόπων και Πρόδρομων Ουσιών/ Άδειες Εξαγωγής Ναρκωτικών Φαρμάκων και Ψυχοτρόπων Ουσιών</w:t>
        </w:r>
        <w:r w:rsidR="00D706E2">
          <w:rPr>
            <w:webHidden/>
          </w:rPr>
          <w:tab/>
        </w:r>
        <w:r>
          <w:rPr>
            <w:webHidden/>
          </w:rPr>
          <w:fldChar w:fldCharType="begin"/>
        </w:r>
        <w:r w:rsidR="00D706E2">
          <w:rPr>
            <w:webHidden/>
          </w:rPr>
          <w:instrText xml:space="preserve"> PAGEREF _Toc383086804 \h </w:instrText>
        </w:r>
        <w:r>
          <w:rPr>
            <w:webHidden/>
          </w:rPr>
        </w:r>
        <w:r>
          <w:rPr>
            <w:webHidden/>
          </w:rPr>
          <w:fldChar w:fldCharType="separate"/>
        </w:r>
        <w:r w:rsidR="00D706E2">
          <w:rPr>
            <w:webHidden/>
          </w:rPr>
          <w:t>25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5" w:history="1">
        <w:r w:rsidR="00D706E2" w:rsidRPr="003D384C">
          <w:rPr>
            <w:rStyle w:val="Hyperlink"/>
          </w:rPr>
          <w:t>1.2.3.9</w:t>
        </w:r>
        <w:r w:rsidR="00D706E2">
          <w:rPr>
            <w:rFonts w:asciiTheme="minorHAnsi" w:eastAsiaTheme="minorEastAsia" w:hAnsiTheme="minorHAnsi" w:cstheme="minorBidi"/>
            <w:i w:val="0"/>
            <w:sz w:val="22"/>
            <w:szCs w:val="22"/>
          </w:rPr>
          <w:tab/>
        </w:r>
        <w:r w:rsidR="00D706E2" w:rsidRPr="003D384C">
          <w:rPr>
            <w:rStyle w:val="Hyperlink"/>
          </w:rPr>
          <w:t>Ετοιμασία Εκθέσεων προς τα Ηνωμένα Έθνη σχετικά με τη διακίνηση</w:t>
        </w:r>
        <w:r w:rsidR="00D706E2">
          <w:rPr>
            <w:webHidden/>
          </w:rPr>
          <w:tab/>
        </w:r>
        <w:r>
          <w:rPr>
            <w:webHidden/>
          </w:rPr>
          <w:fldChar w:fldCharType="begin"/>
        </w:r>
        <w:r w:rsidR="00D706E2">
          <w:rPr>
            <w:webHidden/>
          </w:rPr>
          <w:instrText xml:space="preserve"> PAGEREF _Toc383086805 \h </w:instrText>
        </w:r>
        <w:r>
          <w:rPr>
            <w:webHidden/>
          </w:rPr>
        </w:r>
        <w:r>
          <w:rPr>
            <w:webHidden/>
          </w:rPr>
          <w:fldChar w:fldCharType="separate"/>
        </w:r>
        <w:r w:rsidR="00D706E2">
          <w:rPr>
            <w:webHidden/>
          </w:rPr>
          <w:t>25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06" w:history="1">
        <w:r w:rsidR="00D706E2" w:rsidRPr="003D384C">
          <w:rPr>
            <w:rStyle w:val="Hyperlink"/>
          </w:rPr>
          <w:t>1.2.3.10</w:t>
        </w:r>
        <w:r w:rsidR="00D706E2">
          <w:rPr>
            <w:rFonts w:asciiTheme="minorHAnsi" w:eastAsiaTheme="minorEastAsia" w:hAnsiTheme="minorHAnsi" w:cstheme="minorBidi"/>
            <w:i w:val="0"/>
            <w:sz w:val="22"/>
            <w:szCs w:val="22"/>
          </w:rPr>
          <w:tab/>
        </w:r>
        <w:r w:rsidR="00D706E2" w:rsidRPr="003D384C">
          <w:rPr>
            <w:rStyle w:val="Hyperlink"/>
          </w:rPr>
          <w:t>Άλλες Εργασίες</w:t>
        </w:r>
        <w:r w:rsidR="00D706E2">
          <w:rPr>
            <w:webHidden/>
          </w:rPr>
          <w:tab/>
        </w:r>
        <w:r>
          <w:rPr>
            <w:webHidden/>
          </w:rPr>
          <w:fldChar w:fldCharType="begin"/>
        </w:r>
        <w:r w:rsidR="00D706E2">
          <w:rPr>
            <w:webHidden/>
          </w:rPr>
          <w:instrText xml:space="preserve"> PAGEREF _Toc383086806 \h </w:instrText>
        </w:r>
        <w:r>
          <w:rPr>
            <w:webHidden/>
          </w:rPr>
        </w:r>
        <w:r>
          <w:rPr>
            <w:webHidden/>
          </w:rPr>
          <w:fldChar w:fldCharType="separate"/>
        </w:r>
        <w:r w:rsidR="00D706E2">
          <w:rPr>
            <w:webHidden/>
          </w:rPr>
          <w:t>25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07" w:history="1">
        <w:r w:rsidR="00D706E2" w:rsidRPr="003D384C">
          <w:rPr>
            <w:rStyle w:val="Hyperlink"/>
          </w:rPr>
          <w:t>1.2.4.</w:t>
        </w:r>
        <w:r w:rsidR="00D706E2">
          <w:rPr>
            <w:rFonts w:asciiTheme="minorHAnsi" w:eastAsiaTheme="minorEastAsia" w:hAnsiTheme="minorHAnsi" w:cstheme="minorBidi"/>
            <w:sz w:val="22"/>
            <w:szCs w:val="22"/>
          </w:rPr>
          <w:tab/>
        </w:r>
        <w:r w:rsidR="00D706E2" w:rsidRPr="003D384C">
          <w:rPr>
            <w:rStyle w:val="Hyperlink"/>
          </w:rPr>
          <w:t>Τομέας Μηχανογράφησης</w:t>
        </w:r>
        <w:r w:rsidR="00D706E2">
          <w:rPr>
            <w:webHidden/>
          </w:rPr>
          <w:tab/>
        </w:r>
        <w:r>
          <w:rPr>
            <w:webHidden/>
          </w:rPr>
          <w:fldChar w:fldCharType="begin"/>
        </w:r>
        <w:r w:rsidR="00D706E2">
          <w:rPr>
            <w:webHidden/>
          </w:rPr>
          <w:instrText xml:space="preserve"> PAGEREF _Toc383086807 \h </w:instrText>
        </w:r>
        <w:r>
          <w:rPr>
            <w:webHidden/>
          </w:rPr>
        </w:r>
        <w:r>
          <w:rPr>
            <w:webHidden/>
          </w:rPr>
          <w:fldChar w:fldCharType="separate"/>
        </w:r>
        <w:r w:rsidR="00D706E2">
          <w:rPr>
            <w:webHidden/>
          </w:rPr>
          <w:t>26</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08" w:history="1">
        <w:r w:rsidR="00D706E2" w:rsidRPr="003D384C">
          <w:rPr>
            <w:rStyle w:val="Hyperlink"/>
          </w:rPr>
          <w:t>1.2.5.</w:t>
        </w:r>
        <w:r w:rsidR="00D706E2">
          <w:rPr>
            <w:rFonts w:asciiTheme="minorHAnsi" w:eastAsiaTheme="minorEastAsia" w:hAnsiTheme="minorHAnsi" w:cstheme="minorBidi"/>
            <w:sz w:val="22"/>
            <w:szCs w:val="22"/>
          </w:rPr>
          <w:tab/>
        </w:r>
        <w:r w:rsidR="00D706E2" w:rsidRPr="003D384C">
          <w:rPr>
            <w:rStyle w:val="Hyperlink"/>
          </w:rPr>
          <w:t>Τομέας Καθορισμού Τιμών Φαρμάκων</w:t>
        </w:r>
        <w:r w:rsidR="00D706E2">
          <w:rPr>
            <w:webHidden/>
          </w:rPr>
          <w:tab/>
        </w:r>
        <w:r>
          <w:rPr>
            <w:webHidden/>
          </w:rPr>
          <w:fldChar w:fldCharType="begin"/>
        </w:r>
        <w:r w:rsidR="00D706E2">
          <w:rPr>
            <w:webHidden/>
          </w:rPr>
          <w:instrText xml:space="preserve"> PAGEREF _Toc383086808 \h </w:instrText>
        </w:r>
        <w:r>
          <w:rPr>
            <w:webHidden/>
          </w:rPr>
        </w:r>
        <w:r>
          <w:rPr>
            <w:webHidden/>
          </w:rPr>
          <w:fldChar w:fldCharType="separate"/>
        </w:r>
        <w:r w:rsidR="00D706E2">
          <w:rPr>
            <w:webHidden/>
          </w:rPr>
          <w:t>28</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09" w:history="1">
        <w:r w:rsidR="00D706E2" w:rsidRPr="003D384C">
          <w:rPr>
            <w:rStyle w:val="Hyperlink"/>
          </w:rPr>
          <w:t>1.2.6.</w:t>
        </w:r>
        <w:r w:rsidR="00D706E2">
          <w:rPr>
            <w:rFonts w:asciiTheme="minorHAnsi" w:eastAsiaTheme="minorEastAsia" w:hAnsiTheme="minorHAnsi" w:cstheme="minorBidi"/>
            <w:sz w:val="22"/>
            <w:szCs w:val="22"/>
          </w:rPr>
          <w:tab/>
        </w:r>
        <w:r w:rsidR="00D706E2" w:rsidRPr="003D384C">
          <w:rPr>
            <w:rStyle w:val="Hyperlink"/>
          </w:rPr>
          <w:t>Τομέας Κλινικής Φαρμακευτικής</w:t>
        </w:r>
        <w:r w:rsidR="00D706E2">
          <w:rPr>
            <w:webHidden/>
          </w:rPr>
          <w:tab/>
        </w:r>
        <w:r>
          <w:rPr>
            <w:webHidden/>
          </w:rPr>
          <w:fldChar w:fldCharType="begin"/>
        </w:r>
        <w:r w:rsidR="00D706E2">
          <w:rPr>
            <w:webHidden/>
          </w:rPr>
          <w:instrText xml:space="preserve"> PAGEREF _Toc383086809 \h </w:instrText>
        </w:r>
        <w:r>
          <w:rPr>
            <w:webHidden/>
          </w:rPr>
        </w:r>
        <w:r>
          <w:rPr>
            <w:webHidden/>
          </w:rPr>
          <w:fldChar w:fldCharType="separate"/>
        </w:r>
        <w:r w:rsidR="00D706E2">
          <w:rPr>
            <w:webHidden/>
          </w:rPr>
          <w:t>29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0" w:history="1">
        <w:r w:rsidR="00D706E2" w:rsidRPr="003D384C">
          <w:rPr>
            <w:rStyle w:val="Hyperlink"/>
          </w:rPr>
          <w:t>1.2.6.1</w:t>
        </w:r>
        <w:r w:rsidR="00D706E2">
          <w:rPr>
            <w:rFonts w:asciiTheme="minorHAnsi" w:eastAsiaTheme="minorEastAsia" w:hAnsiTheme="minorHAnsi" w:cstheme="minorBidi"/>
            <w:i w:val="0"/>
            <w:sz w:val="22"/>
            <w:szCs w:val="22"/>
          </w:rPr>
          <w:tab/>
        </w:r>
        <w:r w:rsidR="00D706E2" w:rsidRPr="003D384C">
          <w:rPr>
            <w:rStyle w:val="Hyperlink"/>
          </w:rPr>
          <w:t>Συμμετοχή στην Επιτροπή Φαρμάκων</w:t>
        </w:r>
        <w:r w:rsidR="00D706E2">
          <w:rPr>
            <w:webHidden/>
          </w:rPr>
          <w:tab/>
        </w:r>
        <w:r>
          <w:rPr>
            <w:webHidden/>
          </w:rPr>
          <w:fldChar w:fldCharType="begin"/>
        </w:r>
        <w:r w:rsidR="00D706E2">
          <w:rPr>
            <w:webHidden/>
          </w:rPr>
          <w:instrText xml:space="preserve"> PAGEREF _Toc383086810 \h </w:instrText>
        </w:r>
        <w:r>
          <w:rPr>
            <w:webHidden/>
          </w:rPr>
        </w:r>
        <w:r>
          <w:rPr>
            <w:webHidden/>
          </w:rPr>
          <w:fldChar w:fldCharType="separate"/>
        </w:r>
        <w:r w:rsidR="00D706E2">
          <w:rPr>
            <w:webHidden/>
          </w:rPr>
          <w:t>29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1" w:history="1">
        <w:r w:rsidR="00D706E2" w:rsidRPr="003D384C">
          <w:rPr>
            <w:rStyle w:val="Hyperlink"/>
          </w:rPr>
          <w:t>1.2.6.2</w:t>
        </w:r>
        <w:r w:rsidR="00D706E2">
          <w:rPr>
            <w:rFonts w:asciiTheme="minorHAnsi" w:eastAsiaTheme="minorEastAsia" w:hAnsiTheme="minorHAnsi" w:cstheme="minorBidi"/>
            <w:i w:val="0"/>
            <w:sz w:val="22"/>
            <w:szCs w:val="22"/>
          </w:rPr>
          <w:tab/>
        </w:r>
        <w:r w:rsidR="00D706E2" w:rsidRPr="003D384C">
          <w:rPr>
            <w:rStyle w:val="Hyperlink"/>
          </w:rPr>
          <w:t>Γραμματεία Επιτροπής Φαρμάκων</w:t>
        </w:r>
        <w:r w:rsidR="00D706E2">
          <w:rPr>
            <w:webHidden/>
          </w:rPr>
          <w:tab/>
        </w:r>
        <w:r>
          <w:rPr>
            <w:webHidden/>
          </w:rPr>
          <w:fldChar w:fldCharType="begin"/>
        </w:r>
        <w:r w:rsidR="00D706E2">
          <w:rPr>
            <w:webHidden/>
          </w:rPr>
          <w:instrText xml:space="preserve"> PAGEREF _Toc383086811 \h </w:instrText>
        </w:r>
        <w:r>
          <w:rPr>
            <w:webHidden/>
          </w:rPr>
        </w:r>
        <w:r>
          <w:rPr>
            <w:webHidden/>
          </w:rPr>
          <w:fldChar w:fldCharType="separate"/>
        </w:r>
        <w:r w:rsidR="00D706E2">
          <w:rPr>
            <w:webHidden/>
          </w:rPr>
          <w:t>29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2" w:history="1">
        <w:r w:rsidR="00D706E2" w:rsidRPr="003D384C">
          <w:rPr>
            <w:rStyle w:val="Hyperlink"/>
          </w:rPr>
          <w:t>1.2.6.3</w:t>
        </w:r>
        <w:r w:rsidR="00D706E2">
          <w:rPr>
            <w:rFonts w:asciiTheme="minorHAnsi" w:eastAsiaTheme="minorEastAsia" w:hAnsiTheme="minorHAnsi" w:cstheme="minorBidi"/>
            <w:i w:val="0"/>
            <w:sz w:val="22"/>
            <w:szCs w:val="22"/>
          </w:rPr>
          <w:tab/>
        </w:r>
        <w:r w:rsidR="00D706E2" w:rsidRPr="003D384C">
          <w:rPr>
            <w:rStyle w:val="Hyperlink"/>
          </w:rPr>
          <w:t>Σχέδιο Επιδότησης/Συμπληρωμής</w:t>
        </w:r>
        <w:r w:rsidR="00D706E2">
          <w:rPr>
            <w:webHidden/>
          </w:rPr>
          <w:tab/>
        </w:r>
        <w:r>
          <w:rPr>
            <w:webHidden/>
          </w:rPr>
          <w:fldChar w:fldCharType="begin"/>
        </w:r>
        <w:r w:rsidR="00D706E2">
          <w:rPr>
            <w:webHidden/>
          </w:rPr>
          <w:instrText xml:space="preserve"> PAGEREF _Toc383086812 \h </w:instrText>
        </w:r>
        <w:r>
          <w:rPr>
            <w:webHidden/>
          </w:rPr>
        </w:r>
        <w:r>
          <w:rPr>
            <w:webHidden/>
          </w:rPr>
          <w:fldChar w:fldCharType="separate"/>
        </w:r>
        <w:r w:rsidR="00D706E2">
          <w:rPr>
            <w:webHidden/>
          </w:rPr>
          <w:t>29</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3" w:history="1">
        <w:r w:rsidR="00D706E2" w:rsidRPr="003D384C">
          <w:rPr>
            <w:rStyle w:val="Hyperlink"/>
          </w:rPr>
          <w:t>1.2.6.4</w:t>
        </w:r>
        <w:r w:rsidR="00D706E2">
          <w:rPr>
            <w:rFonts w:asciiTheme="minorHAnsi" w:eastAsiaTheme="minorEastAsia" w:hAnsiTheme="minorHAnsi" w:cstheme="minorBidi"/>
            <w:i w:val="0"/>
            <w:sz w:val="22"/>
            <w:szCs w:val="22"/>
          </w:rPr>
          <w:tab/>
        </w:r>
        <w:r w:rsidR="00D706E2" w:rsidRPr="003D384C">
          <w:rPr>
            <w:rStyle w:val="Hyperlink"/>
          </w:rPr>
          <w:t>Διαχείριση Αιτημάτων και Ενημέρωση Ιατρονοσηλευτικού προσωπικού</w:t>
        </w:r>
        <w:r w:rsidR="00D706E2">
          <w:rPr>
            <w:webHidden/>
          </w:rPr>
          <w:tab/>
        </w:r>
        <w:r>
          <w:rPr>
            <w:webHidden/>
          </w:rPr>
          <w:fldChar w:fldCharType="begin"/>
        </w:r>
        <w:r w:rsidR="00D706E2">
          <w:rPr>
            <w:webHidden/>
          </w:rPr>
          <w:instrText xml:space="preserve"> PAGEREF _Toc383086813 \h </w:instrText>
        </w:r>
        <w:r>
          <w:rPr>
            <w:webHidden/>
          </w:rPr>
        </w:r>
        <w:r>
          <w:rPr>
            <w:webHidden/>
          </w:rPr>
          <w:fldChar w:fldCharType="separate"/>
        </w:r>
        <w:r w:rsidR="00D706E2">
          <w:rPr>
            <w:webHidden/>
          </w:rPr>
          <w:t>30</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4" w:history="1">
        <w:r w:rsidR="00D706E2" w:rsidRPr="003D384C">
          <w:rPr>
            <w:rStyle w:val="Hyperlink"/>
          </w:rPr>
          <w:t>1.2.6.5</w:t>
        </w:r>
        <w:r w:rsidR="00D706E2">
          <w:rPr>
            <w:rFonts w:asciiTheme="minorHAnsi" w:eastAsiaTheme="minorEastAsia" w:hAnsiTheme="minorHAnsi" w:cstheme="minorBidi"/>
            <w:i w:val="0"/>
            <w:sz w:val="22"/>
            <w:szCs w:val="22"/>
          </w:rPr>
          <w:tab/>
        </w:r>
        <w:r w:rsidR="00D706E2" w:rsidRPr="003D384C">
          <w:rPr>
            <w:rStyle w:val="Hyperlink"/>
          </w:rPr>
          <w:t>Συμμετοχή σε Ιατροσυμβούλια και Επιτροπές</w:t>
        </w:r>
        <w:r w:rsidR="00D706E2">
          <w:rPr>
            <w:webHidden/>
          </w:rPr>
          <w:tab/>
        </w:r>
        <w:r>
          <w:rPr>
            <w:webHidden/>
          </w:rPr>
          <w:fldChar w:fldCharType="begin"/>
        </w:r>
        <w:r w:rsidR="00D706E2">
          <w:rPr>
            <w:webHidden/>
          </w:rPr>
          <w:instrText xml:space="preserve"> PAGEREF _Toc383086814 \h </w:instrText>
        </w:r>
        <w:r>
          <w:rPr>
            <w:webHidden/>
          </w:rPr>
        </w:r>
        <w:r>
          <w:rPr>
            <w:webHidden/>
          </w:rPr>
          <w:fldChar w:fldCharType="separate"/>
        </w:r>
        <w:r w:rsidR="00D706E2">
          <w:rPr>
            <w:webHidden/>
          </w:rPr>
          <w:t>30</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5" w:history="1">
        <w:r w:rsidR="00D706E2" w:rsidRPr="003D384C">
          <w:rPr>
            <w:rStyle w:val="Hyperlink"/>
          </w:rPr>
          <w:t>1.2.6.6</w:t>
        </w:r>
        <w:r w:rsidR="00D706E2">
          <w:rPr>
            <w:rFonts w:asciiTheme="minorHAnsi" w:eastAsiaTheme="minorEastAsia" w:hAnsiTheme="minorHAnsi" w:cstheme="minorBidi"/>
            <w:i w:val="0"/>
            <w:sz w:val="22"/>
            <w:szCs w:val="22"/>
          </w:rPr>
          <w:tab/>
        </w:r>
        <w:r w:rsidR="00D706E2" w:rsidRPr="003D384C">
          <w:rPr>
            <w:rStyle w:val="Hyperlink"/>
          </w:rPr>
          <w:t>Υποστήριξη Τομέα Προμηθειών</w:t>
        </w:r>
        <w:r w:rsidR="00D706E2">
          <w:rPr>
            <w:webHidden/>
          </w:rPr>
          <w:tab/>
        </w:r>
        <w:r>
          <w:rPr>
            <w:webHidden/>
          </w:rPr>
          <w:fldChar w:fldCharType="begin"/>
        </w:r>
        <w:r w:rsidR="00D706E2">
          <w:rPr>
            <w:webHidden/>
          </w:rPr>
          <w:instrText xml:space="preserve"> PAGEREF _Toc383086815 \h </w:instrText>
        </w:r>
        <w:r>
          <w:rPr>
            <w:webHidden/>
          </w:rPr>
        </w:r>
        <w:r>
          <w:rPr>
            <w:webHidden/>
          </w:rPr>
          <w:fldChar w:fldCharType="separate"/>
        </w:r>
        <w:r w:rsidR="00D706E2">
          <w:rPr>
            <w:webHidden/>
          </w:rPr>
          <w:t>30</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6" w:history="1">
        <w:r w:rsidR="00D706E2" w:rsidRPr="003D384C">
          <w:rPr>
            <w:rStyle w:val="Hyperlink"/>
          </w:rPr>
          <w:t>1.2.6.7</w:t>
        </w:r>
        <w:r w:rsidR="00D706E2">
          <w:rPr>
            <w:rFonts w:asciiTheme="minorHAnsi" w:eastAsiaTheme="minorEastAsia" w:hAnsiTheme="minorHAnsi" w:cstheme="minorBidi"/>
            <w:i w:val="0"/>
            <w:sz w:val="22"/>
            <w:szCs w:val="22"/>
          </w:rPr>
          <w:tab/>
        </w:r>
        <w:r w:rsidR="00D706E2" w:rsidRPr="003D384C">
          <w:rPr>
            <w:rStyle w:val="Hyperlink"/>
          </w:rPr>
          <w:t>Φαρμακοεπιδημιολογία- Φαρμακοοικονομία</w:t>
        </w:r>
        <w:r w:rsidR="00D706E2">
          <w:rPr>
            <w:webHidden/>
          </w:rPr>
          <w:tab/>
        </w:r>
        <w:r>
          <w:rPr>
            <w:webHidden/>
          </w:rPr>
          <w:fldChar w:fldCharType="begin"/>
        </w:r>
        <w:r w:rsidR="00D706E2">
          <w:rPr>
            <w:webHidden/>
          </w:rPr>
          <w:instrText xml:space="preserve"> PAGEREF _Toc383086816 \h </w:instrText>
        </w:r>
        <w:r>
          <w:rPr>
            <w:webHidden/>
          </w:rPr>
        </w:r>
        <w:r>
          <w:rPr>
            <w:webHidden/>
          </w:rPr>
          <w:fldChar w:fldCharType="separate"/>
        </w:r>
        <w:r w:rsidR="00D706E2">
          <w:rPr>
            <w:webHidden/>
          </w:rPr>
          <w:t>30</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17" w:history="1">
        <w:r w:rsidR="00D706E2" w:rsidRPr="003D384C">
          <w:rPr>
            <w:rStyle w:val="Hyperlink"/>
          </w:rPr>
          <w:t>1.2.7.</w:t>
        </w:r>
        <w:r w:rsidR="00D706E2">
          <w:rPr>
            <w:rFonts w:asciiTheme="minorHAnsi" w:eastAsiaTheme="minorEastAsia" w:hAnsiTheme="minorHAnsi" w:cstheme="minorBidi"/>
            <w:sz w:val="22"/>
            <w:szCs w:val="22"/>
          </w:rPr>
          <w:tab/>
        </w:r>
        <w:r w:rsidR="00D706E2" w:rsidRPr="003D384C">
          <w:rPr>
            <w:rStyle w:val="Hyperlink"/>
          </w:rPr>
          <w:t>Τομέας Εναρμόνισης της Νομοθεσίας και Διεθνών Σχέσεων</w:t>
        </w:r>
        <w:r w:rsidR="00D706E2">
          <w:rPr>
            <w:webHidden/>
          </w:rPr>
          <w:tab/>
        </w:r>
        <w:r>
          <w:rPr>
            <w:webHidden/>
          </w:rPr>
          <w:fldChar w:fldCharType="begin"/>
        </w:r>
        <w:r w:rsidR="00D706E2">
          <w:rPr>
            <w:webHidden/>
          </w:rPr>
          <w:instrText xml:space="preserve"> PAGEREF _Toc383086817 \h </w:instrText>
        </w:r>
        <w:r>
          <w:rPr>
            <w:webHidden/>
          </w:rPr>
        </w:r>
        <w:r>
          <w:rPr>
            <w:webHidden/>
          </w:rPr>
          <w:fldChar w:fldCharType="separate"/>
        </w:r>
        <w:r w:rsidR="00D706E2">
          <w:rPr>
            <w:webHidden/>
          </w:rPr>
          <w:t>31</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18" w:history="1">
        <w:r w:rsidR="00D706E2" w:rsidRPr="003D384C">
          <w:rPr>
            <w:rStyle w:val="Hyperlink"/>
          </w:rPr>
          <w:t>1.2.8.</w:t>
        </w:r>
        <w:r w:rsidR="00D706E2">
          <w:rPr>
            <w:rFonts w:asciiTheme="minorHAnsi" w:eastAsiaTheme="minorEastAsia" w:hAnsiTheme="minorHAnsi" w:cstheme="minorBidi"/>
            <w:sz w:val="22"/>
            <w:szCs w:val="22"/>
          </w:rPr>
          <w:tab/>
        </w:r>
        <w:r w:rsidR="00D706E2" w:rsidRPr="003D384C">
          <w:rPr>
            <w:rStyle w:val="Hyperlink"/>
          </w:rPr>
          <w:t>Τομέας Καλλυντικών Προϊόντων</w:t>
        </w:r>
        <w:r w:rsidR="00D706E2">
          <w:rPr>
            <w:webHidden/>
          </w:rPr>
          <w:tab/>
        </w:r>
        <w:r>
          <w:rPr>
            <w:webHidden/>
          </w:rPr>
          <w:fldChar w:fldCharType="begin"/>
        </w:r>
        <w:r w:rsidR="00D706E2">
          <w:rPr>
            <w:webHidden/>
          </w:rPr>
          <w:instrText xml:space="preserve"> PAGEREF _Toc383086818 \h </w:instrText>
        </w:r>
        <w:r>
          <w:rPr>
            <w:webHidden/>
          </w:rPr>
        </w:r>
        <w:r>
          <w:rPr>
            <w:webHidden/>
          </w:rPr>
          <w:fldChar w:fldCharType="separate"/>
        </w:r>
        <w:r w:rsidR="00D706E2">
          <w:rPr>
            <w:webHidden/>
          </w:rPr>
          <w:t>32</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19" w:history="1">
        <w:r w:rsidR="00D706E2" w:rsidRPr="003D384C">
          <w:rPr>
            <w:rStyle w:val="Hyperlink"/>
          </w:rPr>
          <w:t>1.2.8.1</w:t>
        </w:r>
        <w:r w:rsidR="00D706E2">
          <w:rPr>
            <w:rFonts w:asciiTheme="minorHAnsi" w:eastAsiaTheme="minorEastAsia" w:hAnsiTheme="minorHAnsi" w:cstheme="minorBidi"/>
            <w:i w:val="0"/>
            <w:sz w:val="22"/>
            <w:szCs w:val="22"/>
          </w:rPr>
          <w:tab/>
        </w:r>
        <w:r w:rsidR="00D706E2" w:rsidRPr="003D384C">
          <w:rPr>
            <w:rStyle w:val="Hyperlink"/>
          </w:rPr>
          <w:t>Συμβούλιο Καλλυντικών</w:t>
        </w:r>
        <w:r w:rsidR="00D706E2">
          <w:rPr>
            <w:webHidden/>
          </w:rPr>
          <w:tab/>
        </w:r>
        <w:r>
          <w:rPr>
            <w:webHidden/>
          </w:rPr>
          <w:fldChar w:fldCharType="begin"/>
        </w:r>
        <w:r w:rsidR="00D706E2">
          <w:rPr>
            <w:webHidden/>
          </w:rPr>
          <w:instrText xml:space="preserve"> PAGEREF _Toc383086819 \h </w:instrText>
        </w:r>
        <w:r>
          <w:rPr>
            <w:webHidden/>
          </w:rPr>
        </w:r>
        <w:r>
          <w:rPr>
            <w:webHidden/>
          </w:rPr>
          <w:fldChar w:fldCharType="separate"/>
        </w:r>
        <w:r w:rsidR="00D706E2">
          <w:rPr>
            <w:webHidden/>
          </w:rPr>
          <w:t>32</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0" w:history="1">
        <w:r w:rsidR="00D706E2" w:rsidRPr="003D384C">
          <w:rPr>
            <w:rStyle w:val="Hyperlink"/>
          </w:rPr>
          <w:t>1.2.8.2</w:t>
        </w:r>
        <w:r w:rsidR="00D706E2">
          <w:rPr>
            <w:rFonts w:asciiTheme="minorHAnsi" w:eastAsiaTheme="minorEastAsia" w:hAnsiTheme="minorHAnsi" w:cstheme="minorBidi"/>
            <w:i w:val="0"/>
            <w:sz w:val="22"/>
            <w:szCs w:val="22"/>
          </w:rPr>
          <w:tab/>
        </w:r>
        <w:r w:rsidR="00D706E2" w:rsidRPr="003D384C">
          <w:rPr>
            <w:rStyle w:val="Hyperlink"/>
          </w:rPr>
          <w:t>Περί Καλλυντικών Προϊόντων Κανονισμοί</w:t>
        </w:r>
        <w:r w:rsidR="00D706E2">
          <w:rPr>
            <w:webHidden/>
          </w:rPr>
          <w:tab/>
        </w:r>
        <w:r>
          <w:rPr>
            <w:webHidden/>
          </w:rPr>
          <w:fldChar w:fldCharType="begin"/>
        </w:r>
        <w:r w:rsidR="00D706E2">
          <w:rPr>
            <w:webHidden/>
          </w:rPr>
          <w:instrText xml:space="preserve"> PAGEREF _Toc383086820 \h </w:instrText>
        </w:r>
        <w:r>
          <w:rPr>
            <w:webHidden/>
          </w:rPr>
        </w:r>
        <w:r>
          <w:rPr>
            <w:webHidden/>
          </w:rPr>
          <w:fldChar w:fldCharType="separate"/>
        </w:r>
        <w:r w:rsidR="00D706E2">
          <w:rPr>
            <w:webHidden/>
          </w:rPr>
          <w:t>32</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1" w:history="1">
        <w:r w:rsidR="00D706E2" w:rsidRPr="003D384C">
          <w:rPr>
            <w:rStyle w:val="Hyperlink"/>
          </w:rPr>
          <w:t>1.2.8.3</w:t>
        </w:r>
        <w:r w:rsidR="00D706E2">
          <w:rPr>
            <w:rFonts w:asciiTheme="minorHAnsi" w:eastAsiaTheme="minorEastAsia" w:hAnsiTheme="minorHAnsi" w:cstheme="minorBidi"/>
            <w:i w:val="0"/>
            <w:sz w:val="22"/>
            <w:szCs w:val="22"/>
          </w:rPr>
          <w:tab/>
        </w:r>
        <w:r w:rsidR="00D706E2" w:rsidRPr="003D384C">
          <w:rPr>
            <w:rStyle w:val="Hyperlink"/>
          </w:rPr>
          <w:t xml:space="preserve">Δίκτυο Ανταλλαγής Πληροφοριών </w:t>
        </w:r>
        <w:r w:rsidR="00D706E2" w:rsidRPr="003D384C">
          <w:rPr>
            <w:rStyle w:val="Hyperlink"/>
            <w:lang w:val="en-US"/>
          </w:rPr>
          <w:t>RAPEX</w:t>
        </w:r>
        <w:r w:rsidR="00D706E2" w:rsidRPr="003D384C">
          <w:rPr>
            <w:rStyle w:val="Hyperlink"/>
          </w:rPr>
          <w:t xml:space="preserve"> για καλλυντικά προϊόντα</w:t>
        </w:r>
        <w:r w:rsidR="00D706E2">
          <w:rPr>
            <w:webHidden/>
          </w:rPr>
          <w:tab/>
        </w:r>
        <w:r>
          <w:rPr>
            <w:webHidden/>
          </w:rPr>
          <w:fldChar w:fldCharType="begin"/>
        </w:r>
        <w:r w:rsidR="00D706E2">
          <w:rPr>
            <w:webHidden/>
          </w:rPr>
          <w:instrText xml:space="preserve"> PAGEREF _Toc383086821 \h </w:instrText>
        </w:r>
        <w:r>
          <w:rPr>
            <w:webHidden/>
          </w:rPr>
        </w:r>
        <w:r>
          <w:rPr>
            <w:webHidden/>
          </w:rPr>
          <w:fldChar w:fldCharType="separate"/>
        </w:r>
        <w:r w:rsidR="00D706E2">
          <w:rPr>
            <w:webHidden/>
          </w:rPr>
          <w:t>33</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2" w:history="1">
        <w:r w:rsidR="00D706E2" w:rsidRPr="003D384C">
          <w:rPr>
            <w:rStyle w:val="Hyperlink"/>
          </w:rPr>
          <w:t>1.2.8.4</w:t>
        </w:r>
        <w:r w:rsidR="00D706E2">
          <w:rPr>
            <w:rFonts w:asciiTheme="minorHAnsi" w:eastAsiaTheme="minorEastAsia" w:hAnsiTheme="minorHAnsi" w:cstheme="minorBidi"/>
            <w:i w:val="0"/>
            <w:sz w:val="22"/>
            <w:szCs w:val="22"/>
          </w:rPr>
          <w:tab/>
        </w:r>
        <w:r w:rsidR="00D706E2" w:rsidRPr="003D384C">
          <w:rPr>
            <w:rStyle w:val="Hyperlink"/>
          </w:rPr>
          <w:t>Πιστοποιητικά ελεύθερης κυκλοφορίας καλλυντικών προϊόντων</w:t>
        </w:r>
        <w:r w:rsidR="00D706E2">
          <w:rPr>
            <w:webHidden/>
          </w:rPr>
          <w:tab/>
        </w:r>
        <w:r>
          <w:rPr>
            <w:webHidden/>
          </w:rPr>
          <w:fldChar w:fldCharType="begin"/>
        </w:r>
        <w:r w:rsidR="00D706E2">
          <w:rPr>
            <w:webHidden/>
          </w:rPr>
          <w:instrText xml:space="preserve"> PAGEREF _Toc383086822 \h </w:instrText>
        </w:r>
        <w:r>
          <w:rPr>
            <w:webHidden/>
          </w:rPr>
        </w:r>
        <w:r>
          <w:rPr>
            <w:webHidden/>
          </w:rPr>
          <w:fldChar w:fldCharType="separate"/>
        </w:r>
        <w:r w:rsidR="00D706E2">
          <w:rPr>
            <w:webHidden/>
          </w:rPr>
          <w:t>34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3" w:history="1">
        <w:r w:rsidR="00D706E2" w:rsidRPr="003D384C">
          <w:rPr>
            <w:rStyle w:val="Hyperlink"/>
          </w:rPr>
          <w:t>1.2.8.5</w:t>
        </w:r>
        <w:r w:rsidR="00D706E2">
          <w:rPr>
            <w:rFonts w:asciiTheme="minorHAnsi" w:eastAsiaTheme="minorEastAsia" w:hAnsiTheme="minorHAnsi" w:cstheme="minorBidi"/>
            <w:i w:val="0"/>
            <w:sz w:val="22"/>
            <w:szCs w:val="22"/>
          </w:rPr>
          <w:tab/>
        </w:r>
        <w:r w:rsidR="00D706E2" w:rsidRPr="003D384C">
          <w:rPr>
            <w:rStyle w:val="Hyperlink"/>
          </w:rPr>
          <w:t>Γνωστοποιήσεις καλλυντικών προϊόντων</w:t>
        </w:r>
        <w:r w:rsidR="00D706E2">
          <w:rPr>
            <w:webHidden/>
          </w:rPr>
          <w:tab/>
        </w:r>
        <w:r>
          <w:rPr>
            <w:webHidden/>
          </w:rPr>
          <w:fldChar w:fldCharType="begin"/>
        </w:r>
        <w:r w:rsidR="00D706E2">
          <w:rPr>
            <w:webHidden/>
          </w:rPr>
          <w:instrText xml:space="preserve"> PAGEREF _Toc383086823 \h </w:instrText>
        </w:r>
        <w:r>
          <w:rPr>
            <w:webHidden/>
          </w:rPr>
        </w:r>
        <w:r>
          <w:rPr>
            <w:webHidden/>
          </w:rPr>
          <w:fldChar w:fldCharType="separate"/>
        </w:r>
        <w:r w:rsidR="00D706E2">
          <w:rPr>
            <w:webHidden/>
          </w:rPr>
          <w:t>34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4" w:history="1">
        <w:r w:rsidR="00D706E2" w:rsidRPr="003D384C">
          <w:rPr>
            <w:rStyle w:val="Hyperlink"/>
          </w:rPr>
          <w:t>1.2.8.6</w:t>
        </w:r>
        <w:r w:rsidR="00D706E2">
          <w:rPr>
            <w:rFonts w:asciiTheme="minorHAnsi" w:eastAsiaTheme="minorEastAsia" w:hAnsiTheme="minorHAnsi" w:cstheme="minorBidi"/>
            <w:i w:val="0"/>
            <w:sz w:val="22"/>
            <w:szCs w:val="22"/>
          </w:rPr>
          <w:tab/>
        </w:r>
        <w:r w:rsidR="00D706E2" w:rsidRPr="003D384C">
          <w:rPr>
            <w:rStyle w:val="Hyperlink"/>
          </w:rPr>
          <w:t>Έλεγχος καλλυντικών προϊόντων στην αγορά</w:t>
        </w:r>
        <w:r w:rsidR="00D706E2">
          <w:rPr>
            <w:webHidden/>
          </w:rPr>
          <w:tab/>
        </w:r>
        <w:r>
          <w:rPr>
            <w:webHidden/>
          </w:rPr>
          <w:fldChar w:fldCharType="begin"/>
        </w:r>
        <w:r w:rsidR="00D706E2">
          <w:rPr>
            <w:webHidden/>
          </w:rPr>
          <w:instrText xml:space="preserve"> PAGEREF _Toc383086824 \h </w:instrText>
        </w:r>
        <w:r>
          <w:rPr>
            <w:webHidden/>
          </w:rPr>
        </w:r>
        <w:r>
          <w:rPr>
            <w:webHidden/>
          </w:rPr>
          <w:fldChar w:fldCharType="separate"/>
        </w:r>
        <w:r w:rsidR="00D706E2">
          <w:rPr>
            <w:webHidden/>
          </w:rPr>
          <w:t>34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5" w:history="1">
        <w:r w:rsidR="00D706E2" w:rsidRPr="003D384C">
          <w:rPr>
            <w:rStyle w:val="Hyperlink"/>
          </w:rPr>
          <w:t>1.2.8.7</w:t>
        </w:r>
        <w:r w:rsidR="00D706E2">
          <w:rPr>
            <w:rFonts w:asciiTheme="minorHAnsi" w:eastAsiaTheme="minorEastAsia" w:hAnsiTheme="minorHAnsi" w:cstheme="minorBidi"/>
            <w:i w:val="0"/>
            <w:sz w:val="22"/>
            <w:szCs w:val="22"/>
          </w:rPr>
          <w:tab/>
        </w:r>
        <w:r w:rsidR="00D706E2" w:rsidRPr="003D384C">
          <w:rPr>
            <w:rStyle w:val="Hyperlink"/>
          </w:rPr>
          <w:t>Δειγματοληψία και ανάλυση καλλυντικών προϊόντων</w:t>
        </w:r>
        <w:r w:rsidR="00D706E2">
          <w:rPr>
            <w:webHidden/>
          </w:rPr>
          <w:tab/>
        </w:r>
        <w:r>
          <w:rPr>
            <w:webHidden/>
          </w:rPr>
          <w:fldChar w:fldCharType="begin"/>
        </w:r>
        <w:r w:rsidR="00D706E2">
          <w:rPr>
            <w:webHidden/>
          </w:rPr>
          <w:instrText xml:space="preserve"> PAGEREF _Toc383086825 \h </w:instrText>
        </w:r>
        <w:r>
          <w:rPr>
            <w:webHidden/>
          </w:rPr>
        </w:r>
        <w:r>
          <w:rPr>
            <w:webHidden/>
          </w:rPr>
          <w:fldChar w:fldCharType="separate"/>
        </w:r>
        <w:r w:rsidR="00D706E2">
          <w:rPr>
            <w:webHidden/>
          </w:rPr>
          <w:t>34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6" w:history="1">
        <w:r w:rsidR="00D706E2" w:rsidRPr="003D384C">
          <w:rPr>
            <w:rStyle w:val="Hyperlink"/>
          </w:rPr>
          <w:t>1.2.8.8</w:t>
        </w:r>
        <w:r w:rsidR="00D706E2">
          <w:rPr>
            <w:rFonts w:asciiTheme="minorHAnsi" w:eastAsiaTheme="minorEastAsia" w:hAnsiTheme="minorHAnsi" w:cstheme="minorBidi"/>
            <w:i w:val="0"/>
            <w:sz w:val="22"/>
            <w:szCs w:val="22"/>
          </w:rPr>
          <w:tab/>
        </w:r>
        <w:r w:rsidR="00D706E2" w:rsidRPr="003D384C">
          <w:rPr>
            <w:rStyle w:val="Hyperlink"/>
          </w:rPr>
          <w:t>Ενημέρωση κατασκευαστών, εισαγωγέων και καταναλωτών</w:t>
        </w:r>
        <w:r w:rsidR="00D706E2">
          <w:rPr>
            <w:webHidden/>
          </w:rPr>
          <w:tab/>
        </w:r>
        <w:r>
          <w:rPr>
            <w:webHidden/>
          </w:rPr>
          <w:fldChar w:fldCharType="begin"/>
        </w:r>
        <w:r w:rsidR="00D706E2">
          <w:rPr>
            <w:webHidden/>
          </w:rPr>
          <w:instrText xml:space="preserve"> PAGEREF _Toc383086826 \h </w:instrText>
        </w:r>
        <w:r>
          <w:rPr>
            <w:webHidden/>
          </w:rPr>
        </w:r>
        <w:r>
          <w:rPr>
            <w:webHidden/>
          </w:rPr>
          <w:fldChar w:fldCharType="separate"/>
        </w:r>
        <w:r w:rsidR="00D706E2">
          <w:rPr>
            <w:webHidden/>
          </w:rPr>
          <w:t>34</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27" w:history="1">
        <w:r w:rsidR="00D706E2" w:rsidRPr="003D384C">
          <w:rPr>
            <w:rStyle w:val="Hyperlink"/>
          </w:rPr>
          <w:t>1.2.8.9</w:t>
        </w:r>
        <w:r w:rsidR="00D706E2">
          <w:rPr>
            <w:rFonts w:asciiTheme="minorHAnsi" w:eastAsiaTheme="minorEastAsia" w:hAnsiTheme="minorHAnsi" w:cstheme="minorBidi"/>
            <w:i w:val="0"/>
            <w:sz w:val="22"/>
            <w:szCs w:val="22"/>
          </w:rPr>
          <w:tab/>
        </w:r>
        <w:r w:rsidR="00D706E2" w:rsidRPr="003D384C">
          <w:rPr>
            <w:rStyle w:val="Hyperlink"/>
          </w:rPr>
          <w:t>Άλλες Δραστηριότητες του Τομέα</w:t>
        </w:r>
        <w:r w:rsidR="00D706E2">
          <w:rPr>
            <w:webHidden/>
          </w:rPr>
          <w:tab/>
        </w:r>
        <w:r>
          <w:rPr>
            <w:webHidden/>
          </w:rPr>
          <w:fldChar w:fldCharType="begin"/>
        </w:r>
        <w:r w:rsidR="00D706E2">
          <w:rPr>
            <w:webHidden/>
          </w:rPr>
          <w:instrText xml:space="preserve"> PAGEREF _Toc383086827 \h </w:instrText>
        </w:r>
        <w:r>
          <w:rPr>
            <w:webHidden/>
          </w:rPr>
        </w:r>
        <w:r>
          <w:rPr>
            <w:webHidden/>
          </w:rPr>
          <w:fldChar w:fldCharType="separate"/>
        </w:r>
        <w:r w:rsidR="00D706E2">
          <w:rPr>
            <w:webHidden/>
          </w:rPr>
          <w:t>35</w:t>
        </w:r>
        <w:r>
          <w:rPr>
            <w:webHidden/>
          </w:rPr>
          <w:fldChar w:fldCharType="end"/>
        </w:r>
      </w:hyperlink>
    </w:p>
    <w:p w:rsidR="00D706E2" w:rsidRDefault="00774D0A">
      <w:pPr>
        <w:pStyle w:val="TOC2"/>
        <w:rPr>
          <w:rFonts w:asciiTheme="minorHAnsi" w:eastAsiaTheme="minorEastAsia" w:hAnsiTheme="minorHAnsi" w:cstheme="minorBidi"/>
          <w:b w:val="0"/>
          <w:sz w:val="22"/>
          <w:szCs w:val="22"/>
        </w:rPr>
      </w:pPr>
      <w:hyperlink w:anchor="_Toc383086828" w:history="1">
        <w:r w:rsidR="00D706E2" w:rsidRPr="003D384C">
          <w:rPr>
            <w:rStyle w:val="Hyperlink"/>
          </w:rPr>
          <w:t>1.3</w:t>
        </w:r>
        <w:r w:rsidR="00D706E2">
          <w:rPr>
            <w:rFonts w:asciiTheme="minorHAnsi" w:eastAsiaTheme="minorEastAsia" w:hAnsiTheme="minorHAnsi" w:cstheme="minorBidi"/>
            <w:b w:val="0"/>
            <w:sz w:val="22"/>
            <w:szCs w:val="22"/>
          </w:rPr>
          <w:tab/>
        </w:r>
        <w:r w:rsidR="00D706E2" w:rsidRPr="003D384C">
          <w:rPr>
            <w:rStyle w:val="Hyperlink"/>
          </w:rPr>
          <w:t>Νοσοκομειακή Φαρμακευτική / Κρατικά Φαρμακεία</w:t>
        </w:r>
        <w:r w:rsidR="00D706E2">
          <w:rPr>
            <w:webHidden/>
          </w:rPr>
          <w:tab/>
        </w:r>
        <w:r>
          <w:rPr>
            <w:webHidden/>
          </w:rPr>
          <w:fldChar w:fldCharType="begin"/>
        </w:r>
        <w:r w:rsidR="00D706E2">
          <w:rPr>
            <w:webHidden/>
          </w:rPr>
          <w:instrText xml:space="preserve"> PAGEREF _Toc383086828 \h </w:instrText>
        </w:r>
        <w:r>
          <w:rPr>
            <w:webHidden/>
          </w:rPr>
        </w:r>
        <w:r>
          <w:rPr>
            <w:webHidden/>
          </w:rPr>
          <w:fldChar w:fldCharType="separate"/>
        </w:r>
        <w:r w:rsidR="00D706E2">
          <w:rPr>
            <w:webHidden/>
          </w:rPr>
          <w:t>35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30" w:history="1">
        <w:r w:rsidR="00D706E2" w:rsidRPr="003D384C">
          <w:rPr>
            <w:rStyle w:val="Hyperlink"/>
          </w:rPr>
          <w:t>1.3.1.</w:t>
        </w:r>
        <w:r w:rsidR="00D706E2">
          <w:rPr>
            <w:rFonts w:asciiTheme="minorHAnsi" w:eastAsiaTheme="minorEastAsia" w:hAnsiTheme="minorHAnsi" w:cstheme="minorBidi"/>
            <w:sz w:val="22"/>
            <w:szCs w:val="22"/>
          </w:rPr>
          <w:tab/>
        </w:r>
        <w:r w:rsidR="00D706E2" w:rsidRPr="003D384C">
          <w:rPr>
            <w:rStyle w:val="Hyperlink"/>
          </w:rPr>
          <w:t>Κρατικά Φαρμακεία</w:t>
        </w:r>
        <w:r w:rsidR="00D706E2">
          <w:rPr>
            <w:webHidden/>
          </w:rPr>
          <w:tab/>
        </w:r>
        <w:r>
          <w:rPr>
            <w:webHidden/>
          </w:rPr>
          <w:fldChar w:fldCharType="begin"/>
        </w:r>
        <w:r w:rsidR="00D706E2">
          <w:rPr>
            <w:webHidden/>
          </w:rPr>
          <w:instrText xml:space="preserve"> PAGEREF _Toc383086830 \h </w:instrText>
        </w:r>
        <w:r>
          <w:rPr>
            <w:webHidden/>
          </w:rPr>
        </w:r>
        <w:r>
          <w:rPr>
            <w:webHidden/>
          </w:rPr>
          <w:fldChar w:fldCharType="separate"/>
        </w:r>
        <w:r w:rsidR="00D706E2">
          <w:rPr>
            <w:webHidden/>
          </w:rPr>
          <w:t>35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31" w:history="1">
        <w:r w:rsidR="00D706E2" w:rsidRPr="003D384C">
          <w:rPr>
            <w:rStyle w:val="Hyperlink"/>
          </w:rPr>
          <w:t>1.3.1.1</w:t>
        </w:r>
        <w:r w:rsidR="00D706E2">
          <w:rPr>
            <w:rFonts w:asciiTheme="minorHAnsi" w:eastAsiaTheme="minorEastAsia" w:hAnsiTheme="minorHAnsi" w:cstheme="minorBidi"/>
            <w:i w:val="0"/>
            <w:sz w:val="22"/>
            <w:szCs w:val="22"/>
          </w:rPr>
          <w:tab/>
        </w:r>
        <w:r w:rsidR="00D706E2" w:rsidRPr="003D384C">
          <w:rPr>
            <w:rStyle w:val="Hyperlink"/>
          </w:rPr>
          <w:t>Αναβάθμιση κρατικών φαρμακείων</w:t>
        </w:r>
        <w:r w:rsidR="00D706E2">
          <w:rPr>
            <w:webHidden/>
          </w:rPr>
          <w:tab/>
        </w:r>
        <w:r>
          <w:rPr>
            <w:webHidden/>
          </w:rPr>
          <w:fldChar w:fldCharType="begin"/>
        </w:r>
        <w:r w:rsidR="00D706E2">
          <w:rPr>
            <w:webHidden/>
          </w:rPr>
          <w:instrText xml:space="preserve"> PAGEREF _Toc383086831 \h </w:instrText>
        </w:r>
        <w:r>
          <w:rPr>
            <w:webHidden/>
          </w:rPr>
        </w:r>
        <w:r>
          <w:rPr>
            <w:webHidden/>
          </w:rPr>
          <w:fldChar w:fldCharType="separate"/>
        </w:r>
        <w:r w:rsidR="00D706E2">
          <w:rPr>
            <w:webHidden/>
          </w:rPr>
          <w:t>35</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32" w:history="1">
        <w:r w:rsidR="00D706E2" w:rsidRPr="003D384C">
          <w:rPr>
            <w:rStyle w:val="Hyperlink"/>
          </w:rPr>
          <w:t>1.3.1.2</w:t>
        </w:r>
        <w:r w:rsidR="00D706E2">
          <w:rPr>
            <w:rFonts w:asciiTheme="minorHAnsi" w:eastAsiaTheme="minorEastAsia" w:hAnsiTheme="minorHAnsi" w:cstheme="minorBidi"/>
            <w:i w:val="0"/>
            <w:sz w:val="22"/>
            <w:szCs w:val="22"/>
          </w:rPr>
          <w:tab/>
        </w:r>
        <w:r w:rsidR="00D706E2" w:rsidRPr="003D384C">
          <w:rPr>
            <w:rStyle w:val="Hyperlink"/>
          </w:rPr>
          <w:t>Καταχώρηση εργασίας κρατικών φαρμακείων</w:t>
        </w:r>
        <w:r w:rsidR="00D706E2">
          <w:rPr>
            <w:webHidden/>
          </w:rPr>
          <w:tab/>
        </w:r>
        <w:r>
          <w:rPr>
            <w:webHidden/>
          </w:rPr>
          <w:fldChar w:fldCharType="begin"/>
        </w:r>
        <w:r w:rsidR="00D706E2">
          <w:rPr>
            <w:webHidden/>
          </w:rPr>
          <w:instrText xml:space="preserve"> PAGEREF _Toc383086832 \h </w:instrText>
        </w:r>
        <w:r>
          <w:rPr>
            <w:webHidden/>
          </w:rPr>
        </w:r>
        <w:r>
          <w:rPr>
            <w:webHidden/>
          </w:rPr>
          <w:fldChar w:fldCharType="separate"/>
        </w:r>
        <w:r w:rsidR="00D706E2">
          <w:rPr>
            <w:webHidden/>
          </w:rPr>
          <w:t>35</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33" w:history="1">
        <w:r w:rsidR="00D706E2" w:rsidRPr="003D384C">
          <w:rPr>
            <w:rStyle w:val="Hyperlink"/>
          </w:rPr>
          <w:t>1.3.2.</w:t>
        </w:r>
        <w:r w:rsidR="00D706E2">
          <w:rPr>
            <w:rFonts w:asciiTheme="minorHAnsi" w:eastAsiaTheme="minorEastAsia" w:hAnsiTheme="minorHAnsi" w:cstheme="minorBidi"/>
            <w:sz w:val="22"/>
            <w:szCs w:val="22"/>
          </w:rPr>
          <w:tab/>
        </w:r>
        <w:r w:rsidR="00D706E2" w:rsidRPr="003D384C">
          <w:rPr>
            <w:rStyle w:val="Hyperlink"/>
          </w:rPr>
          <w:t>Άσηπτη Παρασκευή Διαλυμάτων Ολικής Παρεντερικής Διατροφής και Ανασύσταση Κυτταροστατικών Φαρμάκων</w:t>
        </w:r>
        <w:r w:rsidR="00D706E2">
          <w:rPr>
            <w:webHidden/>
          </w:rPr>
          <w:tab/>
        </w:r>
        <w:r>
          <w:rPr>
            <w:webHidden/>
          </w:rPr>
          <w:fldChar w:fldCharType="begin"/>
        </w:r>
        <w:r w:rsidR="00D706E2">
          <w:rPr>
            <w:webHidden/>
          </w:rPr>
          <w:instrText xml:space="preserve"> PAGEREF _Toc383086833 \h </w:instrText>
        </w:r>
        <w:r>
          <w:rPr>
            <w:webHidden/>
          </w:rPr>
        </w:r>
        <w:r>
          <w:rPr>
            <w:webHidden/>
          </w:rPr>
          <w:fldChar w:fldCharType="separate"/>
        </w:r>
        <w:r w:rsidR="00D706E2">
          <w:rPr>
            <w:webHidden/>
          </w:rPr>
          <w:t>36</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34" w:history="1">
        <w:r w:rsidR="00D706E2" w:rsidRPr="003D384C">
          <w:rPr>
            <w:rStyle w:val="Hyperlink"/>
          </w:rPr>
          <w:t>1.3.2.1   Μονάδα παρεντερικής διατροφής Λευκωσίας</w:t>
        </w:r>
        <w:r w:rsidR="00D706E2">
          <w:rPr>
            <w:webHidden/>
          </w:rPr>
          <w:tab/>
        </w:r>
        <w:r>
          <w:rPr>
            <w:webHidden/>
          </w:rPr>
          <w:fldChar w:fldCharType="begin"/>
        </w:r>
        <w:r w:rsidR="00D706E2">
          <w:rPr>
            <w:webHidden/>
          </w:rPr>
          <w:instrText xml:space="preserve"> PAGEREF _Toc383086834 \h </w:instrText>
        </w:r>
        <w:r>
          <w:rPr>
            <w:webHidden/>
          </w:rPr>
        </w:r>
        <w:r>
          <w:rPr>
            <w:webHidden/>
          </w:rPr>
          <w:fldChar w:fldCharType="separate"/>
        </w:r>
        <w:r w:rsidR="00D706E2">
          <w:rPr>
            <w:webHidden/>
          </w:rPr>
          <w:t>36</w:t>
        </w:r>
        <w:r>
          <w:rPr>
            <w:webHidden/>
          </w:rPr>
          <w:fldChar w:fldCharType="end"/>
        </w:r>
      </w:hyperlink>
    </w:p>
    <w:p w:rsidR="00D706E2" w:rsidRDefault="00774D0A">
      <w:pPr>
        <w:pStyle w:val="TOC4"/>
        <w:rPr>
          <w:rFonts w:asciiTheme="minorHAnsi" w:eastAsiaTheme="minorEastAsia" w:hAnsiTheme="minorHAnsi" w:cstheme="minorBidi"/>
          <w:i w:val="0"/>
          <w:sz w:val="22"/>
          <w:szCs w:val="22"/>
        </w:rPr>
      </w:pPr>
      <w:hyperlink w:anchor="_Toc383086835" w:history="1">
        <w:r w:rsidR="00D706E2" w:rsidRPr="003D384C">
          <w:rPr>
            <w:rStyle w:val="Hyperlink"/>
          </w:rPr>
          <w:t>1.3.2.1</w:t>
        </w:r>
        <w:r w:rsidR="00D706E2">
          <w:rPr>
            <w:rFonts w:asciiTheme="minorHAnsi" w:eastAsiaTheme="minorEastAsia" w:hAnsiTheme="minorHAnsi" w:cstheme="minorBidi"/>
            <w:i w:val="0"/>
            <w:sz w:val="22"/>
            <w:szCs w:val="22"/>
          </w:rPr>
          <w:tab/>
        </w:r>
        <w:r w:rsidR="00D706E2" w:rsidRPr="003D384C">
          <w:rPr>
            <w:rStyle w:val="Hyperlink"/>
          </w:rPr>
          <w:t>Μονάδα Παρεντερικής Διατροφής Λεμεσού</w:t>
        </w:r>
        <w:r w:rsidR="00D706E2">
          <w:rPr>
            <w:webHidden/>
          </w:rPr>
          <w:tab/>
        </w:r>
        <w:r>
          <w:rPr>
            <w:webHidden/>
          </w:rPr>
          <w:fldChar w:fldCharType="begin"/>
        </w:r>
        <w:r w:rsidR="00D706E2">
          <w:rPr>
            <w:webHidden/>
          </w:rPr>
          <w:instrText xml:space="preserve"> PAGEREF _Toc383086835 \h </w:instrText>
        </w:r>
        <w:r>
          <w:rPr>
            <w:webHidden/>
          </w:rPr>
        </w:r>
        <w:r>
          <w:rPr>
            <w:webHidden/>
          </w:rPr>
          <w:fldChar w:fldCharType="separate"/>
        </w:r>
        <w:r w:rsidR="00D706E2">
          <w:rPr>
            <w:webHidden/>
          </w:rPr>
          <w:t>37</w:t>
        </w:r>
        <w:r>
          <w:rPr>
            <w:webHidden/>
          </w:rPr>
          <w:fldChar w:fldCharType="end"/>
        </w:r>
      </w:hyperlink>
    </w:p>
    <w:p w:rsidR="00D706E2" w:rsidRDefault="00774D0A">
      <w:pPr>
        <w:pStyle w:val="TOC2"/>
        <w:rPr>
          <w:rFonts w:asciiTheme="minorHAnsi" w:eastAsiaTheme="minorEastAsia" w:hAnsiTheme="minorHAnsi" w:cstheme="minorBidi"/>
          <w:b w:val="0"/>
          <w:sz w:val="22"/>
          <w:szCs w:val="22"/>
        </w:rPr>
      </w:pPr>
      <w:hyperlink w:anchor="_Toc383086836" w:history="1">
        <w:r w:rsidR="00D706E2" w:rsidRPr="003D384C">
          <w:rPr>
            <w:rStyle w:val="Hyperlink"/>
          </w:rPr>
          <w:t>1.4</w:t>
        </w:r>
        <w:r w:rsidR="00D706E2">
          <w:rPr>
            <w:rFonts w:asciiTheme="minorHAnsi" w:eastAsiaTheme="minorEastAsia" w:hAnsiTheme="minorHAnsi" w:cstheme="minorBidi"/>
            <w:b w:val="0"/>
            <w:sz w:val="22"/>
            <w:szCs w:val="22"/>
          </w:rPr>
          <w:tab/>
        </w:r>
        <w:r w:rsidR="00D706E2" w:rsidRPr="003D384C">
          <w:rPr>
            <w:rStyle w:val="Hyperlink"/>
          </w:rPr>
          <w:t>Στόχοι που υλοποιήθηκαν / Στόχοι σε εξέλιξη</w:t>
        </w:r>
        <w:r w:rsidR="00D706E2">
          <w:rPr>
            <w:webHidden/>
          </w:rPr>
          <w:tab/>
        </w:r>
        <w:r>
          <w:rPr>
            <w:webHidden/>
          </w:rPr>
          <w:fldChar w:fldCharType="begin"/>
        </w:r>
        <w:r w:rsidR="00D706E2">
          <w:rPr>
            <w:webHidden/>
          </w:rPr>
          <w:instrText xml:space="preserve"> PAGEREF _Toc383086836 \h </w:instrText>
        </w:r>
        <w:r>
          <w:rPr>
            <w:webHidden/>
          </w:rPr>
        </w:r>
        <w:r>
          <w:rPr>
            <w:webHidden/>
          </w:rPr>
          <w:fldChar w:fldCharType="separate"/>
        </w:r>
        <w:r w:rsidR="00D706E2">
          <w:rPr>
            <w:webHidden/>
          </w:rPr>
          <w:t>37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38" w:history="1">
        <w:r w:rsidR="00D706E2" w:rsidRPr="003D384C">
          <w:rPr>
            <w:rStyle w:val="Hyperlink"/>
          </w:rPr>
          <w:t>1.4.1.</w:t>
        </w:r>
        <w:r w:rsidR="00D706E2">
          <w:rPr>
            <w:rFonts w:asciiTheme="minorHAnsi" w:eastAsiaTheme="minorEastAsia" w:hAnsiTheme="minorHAnsi" w:cstheme="minorBidi"/>
            <w:sz w:val="22"/>
            <w:szCs w:val="22"/>
          </w:rPr>
          <w:tab/>
        </w:r>
        <w:r w:rsidR="00D706E2" w:rsidRPr="003D384C">
          <w:rPr>
            <w:rStyle w:val="Hyperlink"/>
          </w:rPr>
          <w:t>Διάθεση Νέων Φαρμακοθεραπειών στους δικαιούχους ασθενείς</w:t>
        </w:r>
        <w:r w:rsidR="00D706E2">
          <w:rPr>
            <w:webHidden/>
          </w:rPr>
          <w:tab/>
        </w:r>
        <w:r>
          <w:rPr>
            <w:webHidden/>
          </w:rPr>
          <w:fldChar w:fldCharType="begin"/>
        </w:r>
        <w:r w:rsidR="00D706E2">
          <w:rPr>
            <w:webHidden/>
          </w:rPr>
          <w:instrText xml:space="preserve"> PAGEREF _Toc383086838 \h </w:instrText>
        </w:r>
        <w:r>
          <w:rPr>
            <w:webHidden/>
          </w:rPr>
        </w:r>
        <w:r>
          <w:rPr>
            <w:webHidden/>
          </w:rPr>
          <w:fldChar w:fldCharType="separate"/>
        </w:r>
        <w:r w:rsidR="00D706E2">
          <w:rPr>
            <w:webHidden/>
          </w:rPr>
          <w:t>37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39" w:history="1">
        <w:r w:rsidR="00D706E2" w:rsidRPr="003D384C">
          <w:rPr>
            <w:rStyle w:val="Hyperlink"/>
          </w:rPr>
          <w:t>1.4.2.</w:t>
        </w:r>
        <w:r w:rsidR="00D706E2">
          <w:rPr>
            <w:rFonts w:asciiTheme="minorHAnsi" w:eastAsiaTheme="minorEastAsia" w:hAnsiTheme="minorHAnsi" w:cstheme="minorBidi"/>
            <w:sz w:val="22"/>
            <w:szCs w:val="22"/>
          </w:rPr>
          <w:tab/>
        </w:r>
        <w:r w:rsidR="00D706E2" w:rsidRPr="003D384C">
          <w:rPr>
            <w:rStyle w:val="Hyperlink"/>
          </w:rPr>
          <w:t>Αναχαίτιση της αλματώδους αύξησης στις δαπάνες για τα φάρμακα</w:t>
        </w:r>
        <w:r w:rsidR="00D706E2">
          <w:rPr>
            <w:webHidden/>
          </w:rPr>
          <w:tab/>
        </w:r>
        <w:r>
          <w:rPr>
            <w:webHidden/>
          </w:rPr>
          <w:fldChar w:fldCharType="begin"/>
        </w:r>
        <w:r w:rsidR="00D706E2">
          <w:rPr>
            <w:webHidden/>
          </w:rPr>
          <w:instrText xml:space="preserve"> PAGEREF _Toc383086839 \h </w:instrText>
        </w:r>
        <w:r>
          <w:rPr>
            <w:webHidden/>
          </w:rPr>
        </w:r>
        <w:r>
          <w:rPr>
            <w:webHidden/>
          </w:rPr>
          <w:fldChar w:fldCharType="separate"/>
        </w:r>
        <w:r w:rsidR="00D706E2">
          <w:rPr>
            <w:webHidden/>
          </w:rPr>
          <w:t>37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40" w:history="1">
        <w:r w:rsidR="00D706E2" w:rsidRPr="003D384C">
          <w:rPr>
            <w:rStyle w:val="Hyperlink"/>
          </w:rPr>
          <w:t>1.4.3.</w:t>
        </w:r>
        <w:r w:rsidR="00D706E2">
          <w:rPr>
            <w:rFonts w:asciiTheme="minorHAnsi" w:eastAsiaTheme="minorEastAsia" w:hAnsiTheme="minorHAnsi" w:cstheme="minorBidi"/>
            <w:sz w:val="22"/>
            <w:szCs w:val="22"/>
          </w:rPr>
          <w:tab/>
        </w:r>
        <w:r w:rsidR="00D706E2" w:rsidRPr="003D384C">
          <w:rPr>
            <w:rStyle w:val="Hyperlink"/>
          </w:rPr>
          <w:t>Ενίσχυση της συνεργασίας Ιδιωτικού και Κρατικού Τομέα</w:t>
        </w:r>
        <w:r w:rsidR="00D706E2">
          <w:rPr>
            <w:webHidden/>
          </w:rPr>
          <w:tab/>
        </w:r>
        <w:r>
          <w:rPr>
            <w:webHidden/>
          </w:rPr>
          <w:fldChar w:fldCharType="begin"/>
        </w:r>
        <w:r w:rsidR="00D706E2">
          <w:rPr>
            <w:webHidden/>
          </w:rPr>
          <w:instrText xml:space="preserve"> PAGEREF _Toc383086840 \h </w:instrText>
        </w:r>
        <w:r>
          <w:rPr>
            <w:webHidden/>
          </w:rPr>
        </w:r>
        <w:r>
          <w:rPr>
            <w:webHidden/>
          </w:rPr>
          <w:fldChar w:fldCharType="separate"/>
        </w:r>
        <w:r w:rsidR="00D706E2">
          <w:rPr>
            <w:webHidden/>
          </w:rPr>
          <w:t>37</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41" w:history="1">
        <w:r w:rsidR="00D706E2" w:rsidRPr="003D384C">
          <w:rPr>
            <w:rStyle w:val="Hyperlink"/>
          </w:rPr>
          <w:t>1.4.4.</w:t>
        </w:r>
        <w:r w:rsidR="00D706E2">
          <w:rPr>
            <w:rFonts w:asciiTheme="minorHAnsi" w:eastAsiaTheme="minorEastAsia" w:hAnsiTheme="minorHAnsi" w:cstheme="minorBidi"/>
            <w:sz w:val="22"/>
            <w:szCs w:val="22"/>
          </w:rPr>
          <w:tab/>
        </w:r>
        <w:r w:rsidR="00D706E2" w:rsidRPr="003D384C">
          <w:rPr>
            <w:rStyle w:val="Hyperlink"/>
          </w:rPr>
          <w:t>Μεταστέγαση των Κεντρικών Γραφείων των Φαρμακευτικών Υπηρεσιών</w:t>
        </w:r>
        <w:r w:rsidR="00D706E2">
          <w:rPr>
            <w:webHidden/>
          </w:rPr>
          <w:tab/>
        </w:r>
        <w:r>
          <w:rPr>
            <w:webHidden/>
          </w:rPr>
          <w:fldChar w:fldCharType="begin"/>
        </w:r>
        <w:r w:rsidR="00D706E2">
          <w:rPr>
            <w:webHidden/>
          </w:rPr>
          <w:instrText xml:space="preserve"> PAGEREF _Toc383086841 \h </w:instrText>
        </w:r>
        <w:r>
          <w:rPr>
            <w:webHidden/>
          </w:rPr>
        </w:r>
        <w:r>
          <w:rPr>
            <w:webHidden/>
          </w:rPr>
          <w:fldChar w:fldCharType="separate"/>
        </w:r>
        <w:r w:rsidR="00D706E2">
          <w:rPr>
            <w:webHidden/>
          </w:rPr>
          <w:t>38</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42" w:history="1">
        <w:r w:rsidR="00D706E2" w:rsidRPr="003D384C">
          <w:rPr>
            <w:rStyle w:val="Hyperlink"/>
          </w:rPr>
          <w:t>1.4.5.</w:t>
        </w:r>
        <w:r w:rsidR="00D706E2">
          <w:rPr>
            <w:rFonts w:asciiTheme="minorHAnsi" w:eastAsiaTheme="minorEastAsia" w:hAnsiTheme="minorHAnsi" w:cstheme="minorBidi"/>
            <w:sz w:val="22"/>
            <w:szCs w:val="22"/>
          </w:rPr>
          <w:tab/>
        </w:r>
        <w:r w:rsidR="00D706E2" w:rsidRPr="003D384C">
          <w:rPr>
            <w:rStyle w:val="Hyperlink"/>
          </w:rPr>
          <w:t>Ομάδες εργασίας  για την  ανάληψη της Προεδρίας του Συμβουλίου της Ευρώπης .</w:t>
        </w:r>
        <w:r w:rsidR="00D706E2">
          <w:rPr>
            <w:webHidden/>
          </w:rPr>
          <w:tab/>
        </w:r>
        <w:r>
          <w:rPr>
            <w:webHidden/>
          </w:rPr>
          <w:fldChar w:fldCharType="begin"/>
        </w:r>
        <w:r w:rsidR="00D706E2">
          <w:rPr>
            <w:webHidden/>
          </w:rPr>
          <w:instrText xml:space="preserve"> PAGEREF _Toc383086842 \h </w:instrText>
        </w:r>
        <w:r>
          <w:rPr>
            <w:webHidden/>
          </w:rPr>
        </w:r>
        <w:r>
          <w:rPr>
            <w:webHidden/>
          </w:rPr>
          <w:fldChar w:fldCharType="separate"/>
        </w:r>
        <w:r w:rsidR="00D706E2">
          <w:rPr>
            <w:webHidden/>
          </w:rPr>
          <w:t>38</w:t>
        </w:r>
        <w:r>
          <w:rPr>
            <w:webHidden/>
          </w:rPr>
          <w:fldChar w:fldCharType="end"/>
        </w:r>
      </w:hyperlink>
    </w:p>
    <w:p w:rsidR="00D706E2" w:rsidRDefault="00774D0A">
      <w:pPr>
        <w:pStyle w:val="TOC2"/>
        <w:rPr>
          <w:rFonts w:asciiTheme="minorHAnsi" w:eastAsiaTheme="minorEastAsia" w:hAnsiTheme="minorHAnsi" w:cstheme="minorBidi"/>
          <w:b w:val="0"/>
          <w:sz w:val="22"/>
          <w:szCs w:val="22"/>
        </w:rPr>
      </w:pPr>
      <w:hyperlink w:anchor="_Toc383086843" w:history="1">
        <w:r w:rsidR="00D706E2" w:rsidRPr="003D384C">
          <w:rPr>
            <w:rStyle w:val="Hyperlink"/>
          </w:rPr>
          <w:t>1.5</w:t>
        </w:r>
        <w:r w:rsidR="00D706E2">
          <w:rPr>
            <w:rFonts w:asciiTheme="minorHAnsi" w:eastAsiaTheme="minorEastAsia" w:hAnsiTheme="minorHAnsi" w:cstheme="minorBidi"/>
            <w:b w:val="0"/>
            <w:sz w:val="22"/>
            <w:szCs w:val="22"/>
          </w:rPr>
          <w:tab/>
        </w:r>
        <w:r w:rsidR="00D706E2" w:rsidRPr="003D384C">
          <w:rPr>
            <w:rStyle w:val="Hyperlink"/>
          </w:rPr>
          <w:t>Νέοι στόχοι</w:t>
        </w:r>
        <w:r w:rsidR="00D706E2">
          <w:rPr>
            <w:webHidden/>
          </w:rPr>
          <w:tab/>
        </w:r>
        <w:r>
          <w:rPr>
            <w:webHidden/>
          </w:rPr>
          <w:fldChar w:fldCharType="begin"/>
        </w:r>
        <w:r w:rsidR="00D706E2">
          <w:rPr>
            <w:webHidden/>
          </w:rPr>
          <w:instrText xml:space="preserve"> PAGEREF _Toc383086843 \h </w:instrText>
        </w:r>
        <w:r>
          <w:rPr>
            <w:webHidden/>
          </w:rPr>
        </w:r>
        <w:r>
          <w:rPr>
            <w:webHidden/>
          </w:rPr>
          <w:fldChar w:fldCharType="separate"/>
        </w:r>
        <w:r w:rsidR="00D706E2">
          <w:rPr>
            <w:webHidden/>
          </w:rPr>
          <w:t>38</w:t>
        </w:r>
        <w:r>
          <w:rPr>
            <w:webHidden/>
          </w:rPr>
          <w:fldChar w:fldCharType="end"/>
        </w:r>
      </w:hyperlink>
    </w:p>
    <w:p w:rsidR="00D706E2" w:rsidRDefault="00774D0A">
      <w:pPr>
        <w:pStyle w:val="TOC3"/>
        <w:rPr>
          <w:rFonts w:asciiTheme="minorHAnsi" w:eastAsiaTheme="minorEastAsia" w:hAnsiTheme="minorHAnsi" w:cstheme="minorBidi"/>
          <w:sz w:val="22"/>
          <w:szCs w:val="22"/>
        </w:rPr>
      </w:pPr>
      <w:hyperlink w:anchor="_Toc383086845" w:history="1">
        <w:r w:rsidR="00D706E2" w:rsidRPr="003D384C">
          <w:rPr>
            <w:rStyle w:val="Hyperlink"/>
          </w:rPr>
          <w:t>1.5.1.</w:t>
        </w:r>
        <w:r w:rsidR="00D706E2">
          <w:rPr>
            <w:rFonts w:asciiTheme="minorHAnsi" w:eastAsiaTheme="minorEastAsia" w:hAnsiTheme="minorHAnsi" w:cstheme="minorBidi"/>
            <w:sz w:val="22"/>
            <w:szCs w:val="22"/>
          </w:rPr>
          <w:tab/>
        </w:r>
        <w:r w:rsidR="00D706E2" w:rsidRPr="003D384C">
          <w:rPr>
            <w:rStyle w:val="Hyperlink"/>
          </w:rPr>
          <w:t>Μετεξέλιξη των Φαρμακευτικών Υπηρεσιών</w:t>
        </w:r>
        <w:r w:rsidR="00D706E2">
          <w:rPr>
            <w:webHidden/>
          </w:rPr>
          <w:tab/>
        </w:r>
        <w:r>
          <w:rPr>
            <w:webHidden/>
          </w:rPr>
          <w:fldChar w:fldCharType="begin"/>
        </w:r>
        <w:r w:rsidR="00D706E2">
          <w:rPr>
            <w:webHidden/>
          </w:rPr>
          <w:instrText xml:space="preserve"> PAGEREF _Toc383086845 \h </w:instrText>
        </w:r>
        <w:r>
          <w:rPr>
            <w:webHidden/>
          </w:rPr>
        </w:r>
        <w:r>
          <w:rPr>
            <w:webHidden/>
          </w:rPr>
          <w:fldChar w:fldCharType="separate"/>
        </w:r>
        <w:r w:rsidR="00D706E2">
          <w:rPr>
            <w:webHidden/>
          </w:rPr>
          <w:t>38</w:t>
        </w:r>
        <w:r>
          <w:rPr>
            <w:webHidden/>
          </w:rPr>
          <w:fldChar w:fldCharType="end"/>
        </w:r>
      </w:hyperlink>
    </w:p>
    <w:p w:rsidR="00A358F4" w:rsidRDefault="00774D0A" w:rsidP="00822E7B">
      <w:pPr>
        <w:pStyle w:val="Heading1"/>
      </w:pPr>
      <w:r>
        <w:lastRenderedPageBreak/>
        <w:fldChar w:fldCharType="end"/>
      </w:r>
      <w:bookmarkStart w:id="0" w:name="_Toc383086777"/>
      <w:r w:rsidR="00B73966">
        <w:t>ΔΙΕΥΘΥΝΣΗ ΦΑΡΜΑΚΕΥΤΙΚΩΝ ΥΠΗΡΕΣΙΩΝ</w:t>
      </w:r>
      <w:bookmarkEnd w:id="0"/>
    </w:p>
    <w:p w:rsidR="00822E7B" w:rsidRPr="003C02BD" w:rsidRDefault="00B73966" w:rsidP="00822E7B">
      <w:pPr>
        <w:pStyle w:val="Heading2"/>
        <w:rPr>
          <w:lang w:val="en-US"/>
        </w:rPr>
      </w:pPr>
      <w:bookmarkStart w:id="1" w:name="_Toc383086778"/>
      <w:r w:rsidRPr="00C75483">
        <w:t>Εισαγωγή</w:t>
      </w:r>
      <w:bookmarkEnd w:id="1"/>
    </w:p>
    <w:p w:rsidR="00A358F4" w:rsidRPr="003C02BD" w:rsidRDefault="00B73966" w:rsidP="003C02BD">
      <w:pPr>
        <w:pStyle w:val="Heading3"/>
      </w:pPr>
      <w:bookmarkStart w:id="2" w:name="_Toc383086779"/>
      <w:r w:rsidRPr="003C02BD">
        <w:t>Αποστολή</w:t>
      </w:r>
      <w:bookmarkEnd w:id="2"/>
    </w:p>
    <w:p w:rsidR="00A358F4" w:rsidRPr="00417451" w:rsidRDefault="00B73966">
      <w:pPr>
        <w:spacing w:before="100" w:beforeAutospacing="1" w:after="100" w:afterAutospacing="1"/>
        <w:rPr>
          <w:rFonts w:ascii="Bookman Old Style" w:hAnsi="Bookman Old Style"/>
          <w:vanish/>
          <w:color w:val="FFFFFF"/>
          <w:sz w:val="18"/>
          <w:szCs w:val="18"/>
        </w:rPr>
      </w:pPr>
      <w:r>
        <w:t>Αποστολή των Φαρμακευτικών Υπηρεσιών του Υπουργείου Υγείας είναι η διασφάλιση του δικαιώματος των κυπρίων πολι</w:t>
      </w:r>
      <w:bookmarkStart w:id="3" w:name="_GoBack"/>
      <w:r>
        <w:t>τ</w:t>
      </w:r>
      <w:bookmarkEnd w:id="3"/>
      <w:r>
        <w:t xml:space="preserve">ών </w:t>
      </w:r>
      <w:r>
        <w:rPr>
          <w:szCs w:val="36"/>
        </w:rPr>
        <w:t>και των επισκεπτών της Κύπρου στην πρόσβαση σε ψηλής ποιότητας ασφαλή και αποτελεσματικά φαρμακευτικά και καλλυντικά προϊόντα.</w:t>
      </w:r>
      <w:r>
        <w:rPr>
          <w:rFonts w:ascii="Bookman Old Style" w:hAnsi="Bookman Old Style"/>
          <w:color w:val="FFFFFF"/>
          <w:sz w:val="18"/>
          <w:szCs w:val="18"/>
        </w:rPr>
        <w:t xml:space="preserve"> </w:t>
      </w:r>
    </w:p>
    <w:p w:rsidR="00A358F4" w:rsidRDefault="00B73966">
      <w:pPr>
        <w:spacing w:after="100" w:afterAutospacing="1"/>
        <w:rPr>
          <w:rFonts w:eastAsia="Arial"/>
          <w:sz w:val="28"/>
          <w:szCs w:val="28"/>
        </w:rPr>
      </w:pPr>
      <w:r>
        <w:t xml:space="preserve">Οι Φαρμακευτικές Υπηρεσίες στα πλαίσια της προσπάθειας για υλοποίηση της αποστολής τους και αναβάθμιση των υπηρεσιών που προσφέρουν έχουν θέσει σαν βασικές αρχές για όλες τις λειτουργίες που επιτελούν </w:t>
      </w:r>
      <w:r>
        <w:rPr>
          <w:rFonts w:eastAsia="Arial"/>
        </w:rPr>
        <w:t xml:space="preserve">τη διαφάνεια, τον επαγγελματισμό, την αντικειμενικότητα, </w:t>
      </w:r>
      <w:r>
        <w:t>τ</w:t>
      </w:r>
      <w:r>
        <w:rPr>
          <w:rFonts w:eastAsia="Arial"/>
        </w:rPr>
        <w:t>ην άμεση ανταπόκριση και την υπευθυνότητα.</w:t>
      </w:r>
      <w:r>
        <w:rPr>
          <w:rFonts w:eastAsia="Arial"/>
          <w:sz w:val="28"/>
          <w:szCs w:val="28"/>
        </w:rPr>
        <w:t xml:space="preserve"> </w:t>
      </w:r>
    </w:p>
    <w:p w:rsidR="00A358F4" w:rsidRDefault="00B73966" w:rsidP="003C02BD">
      <w:pPr>
        <w:pStyle w:val="Heading3"/>
      </w:pPr>
      <w:bookmarkStart w:id="4" w:name="_Toc383086780"/>
      <w:r>
        <w:t>Ανθρώπινο Δυναμικό / Διοίκηση</w:t>
      </w:r>
      <w:bookmarkEnd w:id="4"/>
      <w:r>
        <w:t xml:space="preserve"> </w:t>
      </w:r>
    </w:p>
    <w:p w:rsidR="00A358F4" w:rsidRDefault="00985945" w:rsidP="00985945">
      <w:pPr>
        <w:pStyle w:val="BodyTextIndent2"/>
        <w:spacing w:before="100" w:beforeAutospacing="1" w:after="100" w:afterAutospacing="1"/>
        <w:ind w:left="0"/>
        <w:jc w:val="both"/>
        <w:rPr>
          <w:rFonts w:ascii="Times New Roman" w:hAnsi="Times New Roman"/>
          <w:bCs w:val="0"/>
          <w:sz w:val="24"/>
          <w:szCs w:val="22"/>
        </w:rPr>
      </w:pPr>
      <w:r w:rsidRPr="001F5800">
        <w:rPr>
          <w:rFonts w:ascii="Times New Roman" w:hAnsi="Times New Roman"/>
          <w:sz w:val="24"/>
        </w:rPr>
        <w:t xml:space="preserve">Στις 31 Δεκεμβρίου </w:t>
      </w:r>
      <w:r w:rsidR="00B73966" w:rsidRPr="001F5800">
        <w:rPr>
          <w:rFonts w:ascii="Times New Roman" w:hAnsi="Times New Roman"/>
          <w:sz w:val="24"/>
        </w:rPr>
        <w:t>20</w:t>
      </w:r>
      <w:r w:rsidR="00910E35" w:rsidRPr="00910E35">
        <w:rPr>
          <w:rFonts w:ascii="Times New Roman" w:hAnsi="Times New Roman"/>
          <w:sz w:val="24"/>
        </w:rPr>
        <w:t>1</w:t>
      </w:r>
      <w:r w:rsidR="00E201F7" w:rsidRPr="00E201F7">
        <w:rPr>
          <w:rFonts w:ascii="Times New Roman" w:hAnsi="Times New Roman"/>
          <w:sz w:val="24"/>
        </w:rPr>
        <w:t>2</w:t>
      </w:r>
      <w:r w:rsidR="00B73966" w:rsidRPr="001F5800">
        <w:rPr>
          <w:rFonts w:ascii="Times New Roman" w:hAnsi="Times New Roman"/>
          <w:sz w:val="24"/>
        </w:rPr>
        <w:t xml:space="preserve"> οι Φαρμακευτικές Υπηρεσίες απασχ</w:t>
      </w:r>
      <w:r w:rsidRPr="001F5800">
        <w:rPr>
          <w:rFonts w:ascii="Times New Roman" w:hAnsi="Times New Roman"/>
          <w:sz w:val="24"/>
        </w:rPr>
        <w:t xml:space="preserve">ολούσαν </w:t>
      </w:r>
      <w:r w:rsidR="00B73966" w:rsidRPr="001F5800">
        <w:rPr>
          <w:rFonts w:ascii="Times New Roman" w:hAnsi="Times New Roman"/>
          <w:sz w:val="24"/>
        </w:rPr>
        <w:t>2</w:t>
      </w:r>
      <w:r w:rsidR="000706B2" w:rsidRPr="000706B2">
        <w:rPr>
          <w:rFonts w:ascii="Times New Roman" w:hAnsi="Times New Roman"/>
          <w:sz w:val="24"/>
        </w:rPr>
        <w:t>8</w:t>
      </w:r>
      <w:r w:rsidR="00753935" w:rsidRPr="00753935">
        <w:rPr>
          <w:rFonts w:ascii="Times New Roman" w:hAnsi="Times New Roman"/>
          <w:sz w:val="24"/>
        </w:rPr>
        <w:t>9</w:t>
      </w:r>
      <w:r w:rsidR="00B73966" w:rsidRPr="001F5800">
        <w:rPr>
          <w:rFonts w:ascii="Times New Roman" w:hAnsi="Times New Roman"/>
          <w:sz w:val="24"/>
        </w:rPr>
        <w:t xml:space="preserve"> υπαλλήλους: 1</w:t>
      </w:r>
      <w:r w:rsidR="00753935" w:rsidRPr="00753935">
        <w:rPr>
          <w:rFonts w:ascii="Times New Roman" w:hAnsi="Times New Roman"/>
          <w:sz w:val="24"/>
        </w:rPr>
        <w:t>90</w:t>
      </w:r>
      <w:r w:rsidR="000706B2" w:rsidRPr="000706B2">
        <w:rPr>
          <w:rFonts w:ascii="Times New Roman" w:hAnsi="Times New Roman"/>
          <w:sz w:val="24"/>
        </w:rPr>
        <w:t xml:space="preserve"> </w:t>
      </w:r>
      <w:r w:rsidR="003C207A">
        <w:rPr>
          <w:rFonts w:ascii="Times New Roman" w:hAnsi="Times New Roman"/>
          <w:sz w:val="24"/>
        </w:rPr>
        <w:t>Φ</w:t>
      </w:r>
      <w:r w:rsidR="00B73966" w:rsidRPr="001F5800">
        <w:rPr>
          <w:rFonts w:ascii="Times New Roman" w:hAnsi="Times New Roman"/>
          <w:sz w:val="24"/>
        </w:rPr>
        <w:t>αρμακοποιούς</w:t>
      </w:r>
      <w:r w:rsidRPr="001F5800">
        <w:rPr>
          <w:rFonts w:ascii="Times New Roman" w:hAnsi="Times New Roman"/>
          <w:sz w:val="24"/>
        </w:rPr>
        <w:t xml:space="preserve"> (1</w:t>
      </w:r>
      <w:r w:rsidR="00753935" w:rsidRPr="00753935">
        <w:rPr>
          <w:rFonts w:ascii="Times New Roman" w:hAnsi="Times New Roman"/>
          <w:sz w:val="24"/>
        </w:rPr>
        <w:t>15</w:t>
      </w:r>
      <w:r w:rsidRPr="001F5800">
        <w:rPr>
          <w:rFonts w:ascii="Times New Roman" w:hAnsi="Times New Roman"/>
          <w:sz w:val="24"/>
        </w:rPr>
        <w:t xml:space="preserve"> μόνιμους και </w:t>
      </w:r>
      <w:r w:rsidR="00753935" w:rsidRPr="00753935">
        <w:rPr>
          <w:rFonts w:ascii="Times New Roman" w:hAnsi="Times New Roman"/>
          <w:sz w:val="24"/>
        </w:rPr>
        <w:t>75</w:t>
      </w:r>
      <w:r w:rsidRPr="001F5800">
        <w:rPr>
          <w:rFonts w:ascii="Times New Roman" w:hAnsi="Times New Roman"/>
          <w:sz w:val="24"/>
        </w:rPr>
        <w:t xml:space="preserve"> έκτακτους)</w:t>
      </w:r>
      <w:r w:rsidR="00B73966" w:rsidRPr="001F5800">
        <w:rPr>
          <w:rFonts w:ascii="Times New Roman" w:hAnsi="Times New Roman"/>
          <w:sz w:val="24"/>
        </w:rPr>
        <w:t xml:space="preserve">, </w:t>
      </w:r>
      <w:r w:rsidR="00753935" w:rsidRPr="00753935">
        <w:rPr>
          <w:rFonts w:ascii="Times New Roman" w:hAnsi="Times New Roman"/>
          <w:sz w:val="24"/>
        </w:rPr>
        <w:t>30</w:t>
      </w:r>
      <w:r w:rsidR="00E6275F" w:rsidRPr="00E6275F">
        <w:rPr>
          <w:rFonts w:ascii="Times New Roman" w:hAnsi="Times New Roman"/>
          <w:sz w:val="24"/>
        </w:rPr>
        <w:t xml:space="preserve"> </w:t>
      </w:r>
      <w:r w:rsidR="003C207A">
        <w:rPr>
          <w:rFonts w:ascii="Times New Roman" w:hAnsi="Times New Roman"/>
          <w:sz w:val="24"/>
        </w:rPr>
        <w:t>Τεχνικούς Φ</w:t>
      </w:r>
      <w:r w:rsidR="00B73966" w:rsidRPr="001F5800">
        <w:rPr>
          <w:rFonts w:ascii="Times New Roman" w:hAnsi="Times New Roman"/>
          <w:sz w:val="24"/>
        </w:rPr>
        <w:t>αρμακείου</w:t>
      </w:r>
      <w:r w:rsidRPr="001F5800">
        <w:rPr>
          <w:rFonts w:ascii="Times New Roman" w:hAnsi="Times New Roman"/>
          <w:sz w:val="24"/>
        </w:rPr>
        <w:t xml:space="preserve"> (1</w:t>
      </w:r>
      <w:r w:rsidR="004F1053" w:rsidRPr="004F1053">
        <w:rPr>
          <w:rFonts w:ascii="Times New Roman" w:hAnsi="Times New Roman"/>
          <w:sz w:val="24"/>
        </w:rPr>
        <w:t>0</w:t>
      </w:r>
      <w:r w:rsidR="00753935">
        <w:rPr>
          <w:rFonts w:ascii="Times New Roman" w:hAnsi="Times New Roman"/>
          <w:sz w:val="24"/>
        </w:rPr>
        <w:t xml:space="preserve"> μόνιμους και </w:t>
      </w:r>
      <w:r w:rsidR="00753935" w:rsidRPr="00753935">
        <w:rPr>
          <w:rFonts w:ascii="Times New Roman" w:hAnsi="Times New Roman"/>
          <w:sz w:val="24"/>
        </w:rPr>
        <w:t>20</w:t>
      </w:r>
      <w:r w:rsidRPr="001F5800">
        <w:rPr>
          <w:rFonts w:ascii="Times New Roman" w:hAnsi="Times New Roman"/>
          <w:sz w:val="24"/>
        </w:rPr>
        <w:t xml:space="preserve"> έκτακτους), </w:t>
      </w:r>
      <w:r w:rsidR="00901360" w:rsidRPr="00901360">
        <w:rPr>
          <w:rFonts w:ascii="Times New Roman" w:hAnsi="Times New Roman"/>
          <w:sz w:val="24"/>
        </w:rPr>
        <w:t>19</w:t>
      </w:r>
      <w:r w:rsidRPr="001F5800">
        <w:rPr>
          <w:rFonts w:ascii="Times New Roman" w:hAnsi="Times New Roman"/>
          <w:sz w:val="24"/>
          <w:szCs w:val="28"/>
        </w:rPr>
        <w:t xml:space="preserve"> </w:t>
      </w:r>
      <w:r w:rsidR="003C207A">
        <w:rPr>
          <w:rFonts w:ascii="Times New Roman" w:hAnsi="Times New Roman"/>
          <w:sz w:val="24"/>
          <w:szCs w:val="28"/>
        </w:rPr>
        <w:t>Γραμματειακούς Λ</w:t>
      </w:r>
      <w:r w:rsidR="00B73966" w:rsidRPr="001F5800">
        <w:rPr>
          <w:rFonts w:ascii="Times New Roman" w:hAnsi="Times New Roman"/>
          <w:sz w:val="24"/>
          <w:szCs w:val="28"/>
        </w:rPr>
        <w:t>ειτουργούς</w:t>
      </w:r>
      <w:r w:rsidRPr="001F5800">
        <w:rPr>
          <w:rFonts w:ascii="Times New Roman" w:hAnsi="Times New Roman"/>
          <w:sz w:val="24"/>
          <w:szCs w:val="28"/>
        </w:rPr>
        <w:t xml:space="preserve"> (</w:t>
      </w:r>
      <w:r w:rsidRPr="001F5800">
        <w:rPr>
          <w:rFonts w:ascii="Times New Roman" w:hAnsi="Times New Roman"/>
          <w:sz w:val="24"/>
        </w:rPr>
        <w:t>1</w:t>
      </w:r>
      <w:r w:rsidR="00901360" w:rsidRPr="00901360">
        <w:rPr>
          <w:rFonts w:ascii="Times New Roman" w:hAnsi="Times New Roman"/>
          <w:sz w:val="24"/>
        </w:rPr>
        <w:t>4</w:t>
      </w:r>
      <w:r w:rsidRPr="001F5800">
        <w:rPr>
          <w:rFonts w:ascii="Times New Roman" w:hAnsi="Times New Roman"/>
          <w:sz w:val="24"/>
        </w:rPr>
        <w:t xml:space="preserve"> μόνιμους και </w:t>
      </w:r>
      <w:r w:rsidR="00901360" w:rsidRPr="00901360">
        <w:rPr>
          <w:rFonts w:ascii="Times New Roman" w:hAnsi="Times New Roman"/>
          <w:sz w:val="24"/>
        </w:rPr>
        <w:t>5</w:t>
      </w:r>
      <w:r w:rsidRPr="001F5800">
        <w:rPr>
          <w:rFonts w:ascii="Times New Roman" w:hAnsi="Times New Roman"/>
          <w:sz w:val="24"/>
        </w:rPr>
        <w:t xml:space="preserve"> έκτακτους),</w:t>
      </w:r>
      <w:r w:rsidR="00B73966" w:rsidRPr="001F5800">
        <w:rPr>
          <w:rFonts w:ascii="Times New Roman" w:hAnsi="Times New Roman"/>
          <w:sz w:val="24"/>
          <w:szCs w:val="28"/>
        </w:rPr>
        <w:t xml:space="preserve"> </w:t>
      </w:r>
      <w:r w:rsidR="00E6275F" w:rsidRPr="00E6275F">
        <w:rPr>
          <w:rFonts w:ascii="Times New Roman" w:hAnsi="Times New Roman"/>
          <w:sz w:val="24"/>
          <w:szCs w:val="28"/>
        </w:rPr>
        <w:t xml:space="preserve">1 </w:t>
      </w:r>
      <w:r w:rsidR="003C207A">
        <w:rPr>
          <w:rFonts w:ascii="Times New Roman" w:hAnsi="Times New Roman"/>
          <w:sz w:val="24"/>
          <w:szCs w:val="28"/>
        </w:rPr>
        <w:t>Λογιστικό Λ</w:t>
      </w:r>
      <w:r w:rsidR="00E6275F">
        <w:rPr>
          <w:rFonts w:ascii="Times New Roman" w:hAnsi="Times New Roman"/>
          <w:sz w:val="24"/>
          <w:szCs w:val="28"/>
        </w:rPr>
        <w:t xml:space="preserve">ειτουργό, </w:t>
      </w:r>
      <w:r w:rsidR="003C207A">
        <w:rPr>
          <w:rFonts w:ascii="Times New Roman" w:hAnsi="Times New Roman"/>
          <w:sz w:val="24"/>
          <w:szCs w:val="28"/>
        </w:rPr>
        <w:t>1 Επιθεωρητή Λ</w:t>
      </w:r>
      <w:r w:rsidR="00B73966" w:rsidRPr="001F5800">
        <w:rPr>
          <w:rFonts w:ascii="Times New Roman" w:hAnsi="Times New Roman"/>
          <w:sz w:val="24"/>
          <w:szCs w:val="28"/>
        </w:rPr>
        <w:t>ογαριασμών και 4</w:t>
      </w:r>
      <w:r w:rsidR="000706B2" w:rsidRPr="000706B2">
        <w:rPr>
          <w:rFonts w:ascii="Times New Roman" w:hAnsi="Times New Roman"/>
          <w:sz w:val="24"/>
          <w:szCs w:val="28"/>
        </w:rPr>
        <w:t>8</w:t>
      </w:r>
      <w:r w:rsidR="003C207A">
        <w:rPr>
          <w:rFonts w:ascii="Times New Roman" w:hAnsi="Times New Roman"/>
          <w:sz w:val="24"/>
          <w:szCs w:val="28"/>
        </w:rPr>
        <w:t xml:space="preserve"> Ωρομίσθιους Ε</w:t>
      </w:r>
      <w:r w:rsidR="00B73966" w:rsidRPr="001F5800">
        <w:rPr>
          <w:rFonts w:ascii="Times New Roman" w:hAnsi="Times New Roman"/>
          <w:sz w:val="24"/>
          <w:szCs w:val="28"/>
        </w:rPr>
        <w:t>ργάτες.</w:t>
      </w:r>
      <w:r w:rsidR="00B73966">
        <w:rPr>
          <w:rFonts w:ascii="Times New Roman" w:hAnsi="Times New Roman"/>
          <w:sz w:val="24"/>
          <w:szCs w:val="28"/>
        </w:rPr>
        <w:t xml:space="preserve"> </w:t>
      </w:r>
    </w:p>
    <w:p w:rsidR="00A358F4" w:rsidRDefault="00C17044" w:rsidP="00985945">
      <w:pPr>
        <w:spacing w:after="100" w:afterAutospacing="1"/>
        <w:rPr>
          <w:szCs w:val="28"/>
        </w:rPr>
      </w:pPr>
      <w:r>
        <w:rPr>
          <w:bCs/>
          <w:szCs w:val="22"/>
        </w:rPr>
        <w:t>Ο</w:t>
      </w:r>
      <w:r w:rsidR="00B73966">
        <w:rPr>
          <w:bCs/>
          <w:szCs w:val="22"/>
        </w:rPr>
        <w:t xml:space="preserve"> Διευθυντής</w:t>
      </w:r>
      <w:r>
        <w:rPr>
          <w:bCs/>
          <w:szCs w:val="22"/>
        </w:rPr>
        <w:t xml:space="preserve"> προ</w:t>
      </w:r>
      <w:r w:rsidR="00A45121">
        <w:rPr>
          <w:bCs/>
          <w:szCs w:val="22"/>
        </w:rPr>
        <w:t>ΐ</w:t>
      </w:r>
      <w:r>
        <w:rPr>
          <w:bCs/>
          <w:szCs w:val="22"/>
        </w:rPr>
        <w:t>σταται των Φαρμακευτικών Υπηρεσιών</w:t>
      </w:r>
      <w:r w:rsidR="00A0744C">
        <w:rPr>
          <w:bCs/>
          <w:szCs w:val="22"/>
        </w:rPr>
        <w:t>. Η υπόλοιπη δομή του Τμήματος είχε ως ακολούθως:  1 Πρώτο</w:t>
      </w:r>
      <w:r w:rsidR="003C207A">
        <w:rPr>
          <w:bCs/>
          <w:szCs w:val="22"/>
        </w:rPr>
        <w:t xml:space="preserve"> Φ</w:t>
      </w:r>
      <w:r w:rsidR="00A0744C">
        <w:rPr>
          <w:bCs/>
          <w:szCs w:val="22"/>
        </w:rPr>
        <w:t xml:space="preserve">αρμακοποιό </w:t>
      </w:r>
      <w:r w:rsidR="005B309B" w:rsidRPr="005B309B">
        <w:rPr>
          <w:bCs/>
          <w:szCs w:val="22"/>
        </w:rPr>
        <w:t>(</w:t>
      </w:r>
      <w:r w:rsidR="00A0744C">
        <w:rPr>
          <w:bCs/>
          <w:szCs w:val="22"/>
        </w:rPr>
        <w:t xml:space="preserve">συν </w:t>
      </w:r>
      <w:r w:rsidR="005B309B" w:rsidRPr="005B309B">
        <w:rPr>
          <w:bCs/>
          <w:szCs w:val="22"/>
        </w:rPr>
        <w:t>1</w:t>
      </w:r>
      <w:r w:rsidR="00A0744C">
        <w:rPr>
          <w:bCs/>
          <w:szCs w:val="22"/>
        </w:rPr>
        <w:t xml:space="preserve"> κενή θέση</w:t>
      </w:r>
      <w:r w:rsidR="005B309B" w:rsidRPr="005B309B">
        <w:rPr>
          <w:bCs/>
          <w:szCs w:val="22"/>
        </w:rPr>
        <w:t>)</w:t>
      </w:r>
      <w:r w:rsidR="00A0744C">
        <w:rPr>
          <w:bCs/>
          <w:szCs w:val="22"/>
        </w:rPr>
        <w:t xml:space="preserve">, 11 Ανώτεροι </w:t>
      </w:r>
      <w:r w:rsidR="003C207A">
        <w:rPr>
          <w:bCs/>
          <w:szCs w:val="22"/>
        </w:rPr>
        <w:t xml:space="preserve"> Φ</w:t>
      </w:r>
      <w:r w:rsidR="00A0744C">
        <w:rPr>
          <w:bCs/>
          <w:szCs w:val="22"/>
        </w:rPr>
        <w:t>αρμακοποιοί, 19 (συν 1 κενή θέση</w:t>
      </w:r>
      <w:r w:rsidR="005B309B" w:rsidRPr="005B309B">
        <w:rPr>
          <w:bCs/>
          <w:szCs w:val="22"/>
        </w:rPr>
        <w:t>)</w:t>
      </w:r>
      <w:r w:rsidR="00A0744C">
        <w:rPr>
          <w:bCs/>
          <w:szCs w:val="22"/>
        </w:rPr>
        <w:t xml:space="preserve"> Φαρμακοποιοί  Α´, 103 Φαρμακοποιοί και 14 Τεχνικοί</w:t>
      </w:r>
      <w:r w:rsidR="003C207A">
        <w:rPr>
          <w:bCs/>
          <w:szCs w:val="22"/>
        </w:rPr>
        <w:t xml:space="preserve"> Φαρμακείου</w:t>
      </w:r>
      <w:r w:rsidR="00B73966">
        <w:rPr>
          <w:bCs/>
          <w:szCs w:val="22"/>
        </w:rPr>
        <w:t xml:space="preserve">. Λόγω του μεγάλου φόρτου εργασίας και των αυξημένων αναγκών του Τμήματος </w:t>
      </w:r>
      <w:r w:rsidR="008A46E2">
        <w:rPr>
          <w:bCs/>
          <w:szCs w:val="22"/>
        </w:rPr>
        <w:t>υπήρχε</w:t>
      </w:r>
      <w:r w:rsidR="00985945">
        <w:rPr>
          <w:bCs/>
          <w:szCs w:val="22"/>
        </w:rPr>
        <w:t xml:space="preserve"> </w:t>
      </w:r>
      <w:r w:rsidR="008A46E2">
        <w:rPr>
          <w:bCs/>
          <w:szCs w:val="22"/>
        </w:rPr>
        <w:t xml:space="preserve">εγκεκριμένη </w:t>
      </w:r>
      <w:r w:rsidR="00985945">
        <w:t>πρόνοια για απασχόληση έκτακτου προσωπικού στις Φαρμακευτικές Υπηρεσίες για το 20</w:t>
      </w:r>
      <w:r w:rsidR="00B5184E">
        <w:t>1</w:t>
      </w:r>
      <w:r w:rsidR="00B5184E" w:rsidRPr="00B5184E">
        <w:t>2</w:t>
      </w:r>
      <w:r w:rsidR="00985945">
        <w:t xml:space="preserve"> που αφορούσε </w:t>
      </w:r>
      <w:r w:rsidR="00985945">
        <w:rPr>
          <w:bCs/>
          <w:szCs w:val="22"/>
        </w:rPr>
        <w:t xml:space="preserve"> </w:t>
      </w:r>
      <w:r w:rsidR="005B309B" w:rsidRPr="005B309B">
        <w:rPr>
          <w:bCs/>
          <w:szCs w:val="22"/>
        </w:rPr>
        <w:t>51</w:t>
      </w:r>
      <w:r w:rsidR="00985945">
        <w:rPr>
          <w:bCs/>
          <w:szCs w:val="22"/>
        </w:rPr>
        <w:t xml:space="preserve"> </w:t>
      </w:r>
      <w:r w:rsidR="003C207A">
        <w:rPr>
          <w:szCs w:val="28"/>
        </w:rPr>
        <w:t>Φ</w:t>
      </w:r>
      <w:r w:rsidR="00985945">
        <w:rPr>
          <w:szCs w:val="28"/>
        </w:rPr>
        <w:t xml:space="preserve">αρμακοποιούς και </w:t>
      </w:r>
      <w:r w:rsidR="00A31593">
        <w:rPr>
          <w:szCs w:val="28"/>
        </w:rPr>
        <w:t>1</w:t>
      </w:r>
      <w:r w:rsidR="005B309B">
        <w:rPr>
          <w:szCs w:val="28"/>
        </w:rPr>
        <w:t>6</w:t>
      </w:r>
      <w:r w:rsidR="00C0637D" w:rsidRPr="00C0637D">
        <w:rPr>
          <w:szCs w:val="28"/>
        </w:rPr>
        <w:t xml:space="preserve"> </w:t>
      </w:r>
      <w:r w:rsidR="003C207A">
        <w:rPr>
          <w:szCs w:val="28"/>
        </w:rPr>
        <w:t>Τεχνικούς Φαρμακείου</w:t>
      </w:r>
      <w:r w:rsidR="00985945">
        <w:rPr>
          <w:szCs w:val="28"/>
        </w:rPr>
        <w:t xml:space="preserve">.  </w:t>
      </w:r>
    </w:p>
    <w:p w:rsidR="00A358F4" w:rsidRDefault="00B73966">
      <w:pPr>
        <w:pStyle w:val="NormalWeb"/>
        <w:spacing w:after="0" w:afterAutospacing="0"/>
        <w:jc w:val="both"/>
        <w:rPr>
          <w:rFonts w:ascii="Times New Roman" w:hAnsi="Times New Roman" w:cs="Times New Roman"/>
          <w:szCs w:val="20"/>
          <w:lang w:val="el-GR"/>
        </w:rPr>
      </w:pPr>
      <w:r>
        <w:rPr>
          <w:rFonts w:ascii="Times New Roman" w:hAnsi="Times New Roman" w:cs="Times New Roman"/>
          <w:szCs w:val="20"/>
          <w:lang w:val="el-GR"/>
        </w:rPr>
        <w:t xml:space="preserve">Τη Διεύθυνση των </w:t>
      </w:r>
      <w:r>
        <w:rPr>
          <w:rFonts w:ascii="Times New Roman" w:hAnsi="Times New Roman" w:cs="Times New Roman"/>
          <w:szCs w:val="22"/>
          <w:lang w:val="el-GR"/>
        </w:rPr>
        <w:t xml:space="preserve">Φαρμακευτικών Υπηρεσιών </w:t>
      </w:r>
      <w:r>
        <w:rPr>
          <w:rFonts w:ascii="Times New Roman" w:hAnsi="Times New Roman" w:cs="Times New Roman"/>
          <w:szCs w:val="20"/>
          <w:lang w:val="el-GR"/>
        </w:rPr>
        <w:t>συγκροτούν οκτώ Τομείς οι οποίοι ρυθμίζουν τις δραστηριότητες του Τμήματος:</w:t>
      </w:r>
    </w:p>
    <w:p w:rsidR="00A358F4" w:rsidRDefault="00B73966" w:rsidP="005C6643">
      <w:pPr>
        <w:pStyle w:val="NormalWeb"/>
        <w:numPr>
          <w:ilvl w:val="0"/>
          <w:numId w:val="3"/>
        </w:numPr>
        <w:spacing w:after="0" w:afterAutospacing="0" w:line="360" w:lineRule="auto"/>
        <w:rPr>
          <w:rFonts w:ascii="Times New Roman" w:hAnsi="Times New Roman" w:cs="Times New Roman"/>
          <w:bCs/>
          <w:iCs/>
          <w:lang w:val="el-GR"/>
        </w:rPr>
      </w:pPr>
      <w:r>
        <w:rPr>
          <w:rFonts w:ascii="Times New Roman" w:hAnsi="Times New Roman" w:cs="Times New Roman"/>
          <w:bCs/>
          <w:iCs/>
          <w:lang w:val="el-GR"/>
        </w:rPr>
        <w:t>Τομέας Προμηθειών</w:t>
      </w:r>
    </w:p>
    <w:p w:rsidR="00A358F4" w:rsidRDefault="00B73966" w:rsidP="005C6643">
      <w:pPr>
        <w:pStyle w:val="NormalWeb"/>
        <w:numPr>
          <w:ilvl w:val="0"/>
          <w:numId w:val="3"/>
        </w:numPr>
        <w:spacing w:before="0" w:beforeAutospacing="0" w:after="0" w:afterAutospacing="0" w:line="360" w:lineRule="auto"/>
        <w:rPr>
          <w:rFonts w:ascii="Times New Roman" w:hAnsi="Times New Roman" w:cs="Times New Roman"/>
          <w:bCs/>
          <w:iCs/>
          <w:lang w:val="el-GR"/>
        </w:rPr>
      </w:pPr>
      <w:r>
        <w:rPr>
          <w:rFonts w:ascii="Times New Roman" w:hAnsi="Times New Roman" w:cs="Times New Roman"/>
          <w:bCs/>
          <w:iCs/>
          <w:lang w:val="el-GR"/>
        </w:rPr>
        <w:t>Τομέας Φαρμακορρύθμισης</w:t>
      </w:r>
    </w:p>
    <w:p w:rsidR="00A358F4" w:rsidRDefault="00B73966" w:rsidP="005C6643">
      <w:pPr>
        <w:pStyle w:val="NormalWeb"/>
        <w:numPr>
          <w:ilvl w:val="0"/>
          <w:numId w:val="3"/>
        </w:numPr>
        <w:spacing w:before="0" w:beforeAutospacing="0" w:after="0" w:afterAutospacing="0" w:line="360" w:lineRule="auto"/>
        <w:rPr>
          <w:rFonts w:ascii="Times New Roman" w:hAnsi="Times New Roman" w:cs="Times New Roman"/>
          <w:bCs/>
          <w:iCs/>
          <w:lang w:val="el-GR"/>
        </w:rPr>
      </w:pPr>
      <w:r>
        <w:rPr>
          <w:rFonts w:ascii="Times New Roman" w:hAnsi="Times New Roman" w:cs="Times New Roman"/>
          <w:bCs/>
          <w:iCs/>
          <w:lang w:val="el-GR"/>
        </w:rPr>
        <w:t>Τομέας Καθορισμού Τιμών των Φαρμάκων</w:t>
      </w:r>
    </w:p>
    <w:p w:rsidR="00A358F4" w:rsidRDefault="00B73966" w:rsidP="005C6643">
      <w:pPr>
        <w:numPr>
          <w:ilvl w:val="0"/>
          <w:numId w:val="3"/>
        </w:numPr>
        <w:spacing w:after="0" w:line="360" w:lineRule="auto"/>
        <w:rPr>
          <w:bCs/>
          <w:iCs/>
        </w:rPr>
      </w:pPr>
      <w:r>
        <w:rPr>
          <w:bCs/>
          <w:iCs/>
        </w:rPr>
        <w:t>Τομέας Επιθεώρησης</w:t>
      </w:r>
    </w:p>
    <w:p w:rsidR="00A358F4" w:rsidRDefault="00B73966" w:rsidP="005C6643">
      <w:pPr>
        <w:numPr>
          <w:ilvl w:val="0"/>
          <w:numId w:val="3"/>
        </w:numPr>
        <w:spacing w:after="0" w:line="360" w:lineRule="auto"/>
        <w:rPr>
          <w:bCs/>
          <w:iCs/>
        </w:rPr>
      </w:pPr>
      <w:r>
        <w:rPr>
          <w:bCs/>
          <w:iCs/>
        </w:rPr>
        <w:t xml:space="preserve">Τομέας Κλινικής Φαρμακευτικής </w:t>
      </w:r>
    </w:p>
    <w:p w:rsidR="00A358F4" w:rsidRDefault="00B73966" w:rsidP="005C6643">
      <w:pPr>
        <w:numPr>
          <w:ilvl w:val="0"/>
          <w:numId w:val="3"/>
        </w:numPr>
        <w:spacing w:after="0" w:line="360" w:lineRule="auto"/>
        <w:rPr>
          <w:bCs/>
          <w:iCs/>
        </w:rPr>
      </w:pPr>
      <w:r>
        <w:rPr>
          <w:bCs/>
          <w:iCs/>
        </w:rPr>
        <w:t>Τομέας Εναρμόνισης της Νομοθεσίας και Διεθνών Σχέσεων</w:t>
      </w:r>
    </w:p>
    <w:p w:rsidR="00A358F4" w:rsidRDefault="00B73966" w:rsidP="005C6643">
      <w:pPr>
        <w:numPr>
          <w:ilvl w:val="0"/>
          <w:numId w:val="3"/>
        </w:numPr>
        <w:spacing w:after="0" w:line="360" w:lineRule="auto"/>
        <w:rPr>
          <w:bCs/>
          <w:iCs/>
        </w:rPr>
      </w:pPr>
      <w:r>
        <w:rPr>
          <w:bCs/>
          <w:iCs/>
        </w:rPr>
        <w:t xml:space="preserve">Τομέας Μηχανογράφησης </w:t>
      </w:r>
    </w:p>
    <w:p w:rsidR="00A358F4" w:rsidRDefault="004311C1" w:rsidP="005C6643">
      <w:pPr>
        <w:numPr>
          <w:ilvl w:val="0"/>
          <w:numId w:val="3"/>
        </w:numPr>
        <w:spacing w:after="0" w:line="360" w:lineRule="auto"/>
        <w:rPr>
          <w:bCs/>
          <w:iCs/>
        </w:rPr>
      </w:pPr>
      <w:r>
        <w:rPr>
          <w:bCs/>
          <w:iCs/>
        </w:rPr>
        <w:t>Τομέας Καλλυντικών</w:t>
      </w:r>
    </w:p>
    <w:p w:rsidR="00A358F4" w:rsidRPr="0020628B" w:rsidRDefault="00B73966">
      <w:pPr>
        <w:spacing w:before="100" w:beforeAutospacing="1" w:after="0"/>
        <w:rPr>
          <w:bCs/>
          <w:iCs/>
        </w:rPr>
      </w:pPr>
      <w:r>
        <w:rPr>
          <w:bCs/>
          <w:iCs/>
        </w:rPr>
        <w:t>Παράλληλα κάτω από τη διεύθυνση των Φαρμακευτικών Υπηρεσιών υπάγεται η λειτουργία και ο έλεγχος των κρατικών φαρμακείων</w:t>
      </w:r>
      <w:r w:rsidR="004311C1">
        <w:rPr>
          <w:bCs/>
          <w:iCs/>
        </w:rPr>
        <w:t>, της άσηπτης μονάδας παρ</w:t>
      </w:r>
      <w:r>
        <w:rPr>
          <w:bCs/>
          <w:iCs/>
        </w:rPr>
        <w:t>ασκευής διαλυμάτων ολικής</w:t>
      </w:r>
      <w:r w:rsidR="0020628B">
        <w:rPr>
          <w:bCs/>
          <w:iCs/>
        </w:rPr>
        <w:t xml:space="preserve">  </w:t>
      </w:r>
      <w:r>
        <w:rPr>
          <w:bCs/>
          <w:iCs/>
        </w:rPr>
        <w:t>παρεντερικής</w:t>
      </w:r>
      <w:r w:rsidR="0020628B">
        <w:rPr>
          <w:bCs/>
          <w:iCs/>
        </w:rPr>
        <w:t xml:space="preserve"> </w:t>
      </w:r>
      <w:r>
        <w:rPr>
          <w:bCs/>
          <w:iCs/>
        </w:rPr>
        <w:t xml:space="preserve"> διατροφής και </w:t>
      </w:r>
      <w:r w:rsidR="00C441B1">
        <w:rPr>
          <w:bCs/>
          <w:iCs/>
        </w:rPr>
        <w:t>ανασύσταση</w:t>
      </w:r>
      <w:r w:rsidR="006A4D15">
        <w:rPr>
          <w:bCs/>
          <w:iCs/>
        </w:rPr>
        <w:t xml:space="preserve">ς </w:t>
      </w:r>
      <w:r w:rsidR="00C441B1">
        <w:rPr>
          <w:bCs/>
          <w:iCs/>
        </w:rPr>
        <w:t xml:space="preserve"> κυτταροστατικών</w:t>
      </w:r>
      <w:r>
        <w:rPr>
          <w:bCs/>
          <w:iCs/>
        </w:rPr>
        <w:t xml:space="preserve"> φαρμάκων</w:t>
      </w:r>
      <w:r w:rsidR="00C441B1">
        <w:rPr>
          <w:bCs/>
          <w:iCs/>
        </w:rPr>
        <w:t>,</w:t>
      </w:r>
      <w:r>
        <w:rPr>
          <w:bCs/>
          <w:iCs/>
        </w:rPr>
        <w:t xml:space="preserve"> η οποία </w:t>
      </w:r>
      <w:r w:rsidR="0086259D">
        <w:rPr>
          <w:bCs/>
          <w:iCs/>
        </w:rPr>
        <w:t>στεγάζεται στο</w:t>
      </w:r>
      <w:r w:rsidR="0020628B">
        <w:rPr>
          <w:bCs/>
          <w:iCs/>
        </w:rPr>
        <w:t xml:space="preserve"> Νοσοκομείο</w:t>
      </w:r>
      <w:r w:rsidR="0086259D">
        <w:rPr>
          <w:bCs/>
          <w:iCs/>
        </w:rPr>
        <w:t xml:space="preserve"> Αρχ. Μακαρείου ΙΙΙ</w:t>
      </w:r>
      <w:r w:rsidR="004311C1">
        <w:rPr>
          <w:bCs/>
          <w:iCs/>
        </w:rPr>
        <w:t xml:space="preserve"> καθώς</w:t>
      </w:r>
      <w:r w:rsidR="0020628B" w:rsidRPr="0020628B">
        <w:rPr>
          <w:bCs/>
          <w:iCs/>
        </w:rPr>
        <w:t xml:space="preserve"> </w:t>
      </w:r>
      <w:r w:rsidR="0020628B">
        <w:rPr>
          <w:bCs/>
          <w:iCs/>
        </w:rPr>
        <w:t xml:space="preserve">και της άσηπτης </w:t>
      </w:r>
      <w:r w:rsidR="004311C1">
        <w:rPr>
          <w:bCs/>
          <w:iCs/>
        </w:rPr>
        <w:t xml:space="preserve">μονάδας </w:t>
      </w:r>
      <w:r w:rsidR="004311C1">
        <w:rPr>
          <w:bCs/>
          <w:iCs/>
        </w:rPr>
        <w:lastRenderedPageBreak/>
        <w:t>παρ</w:t>
      </w:r>
      <w:r w:rsidR="0020628B">
        <w:rPr>
          <w:bCs/>
          <w:iCs/>
        </w:rPr>
        <w:t>ασκευής διαλυμάτων</w:t>
      </w:r>
      <w:r w:rsidR="004311C1">
        <w:rPr>
          <w:bCs/>
          <w:iCs/>
        </w:rPr>
        <w:t xml:space="preserve"> δεσφεριοξαμίνης η οποία στεγάζεται </w:t>
      </w:r>
      <w:r w:rsidR="0020628B">
        <w:rPr>
          <w:bCs/>
          <w:iCs/>
        </w:rPr>
        <w:t xml:space="preserve">στο Γενικό Νοσοκομείο Λεμεσού.  </w:t>
      </w:r>
    </w:p>
    <w:p w:rsidR="00A358F4" w:rsidRDefault="00B73966" w:rsidP="003C02BD">
      <w:pPr>
        <w:pStyle w:val="Heading3"/>
      </w:pPr>
      <w:bookmarkStart w:id="5" w:name="_Toc383086781"/>
      <w:r>
        <w:t>Δραστηριότητες Φαρμακευτικών Υπηρεσιών</w:t>
      </w:r>
      <w:bookmarkEnd w:id="5"/>
    </w:p>
    <w:p w:rsidR="00A358F4" w:rsidRDefault="00B73966">
      <w:pPr>
        <w:spacing w:before="100" w:beforeAutospacing="1"/>
      </w:pPr>
      <w:r>
        <w:t xml:space="preserve">Οι βασικές αρμοδιότητες των Φαρμακευτικών Υπηρεσιών αφορούν: </w:t>
      </w:r>
      <w:bookmarkStart w:id="6" w:name="_Toc159829543"/>
    </w:p>
    <w:p w:rsidR="00A358F4" w:rsidRPr="002C316B" w:rsidRDefault="00B71BC0" w:rsidP="002C316B">
      <w:pPr>
        <w:spacing w:before="240" w:after="0"/>
        <w:rPr>
          <w:b/>
          <w:bCs/>
        </w:rPr>
      </w:pPr>
      <w:r w:rsidRPr="002C316B">
        <w:rPr>
          <w:b/>
          <w:bCs/>
          <w:i/>
          <w:iCs/>
        </w:rPr>
        <w:t xml:space="preserve">1. </w:t>
      </w:r>
      <w:r w:rsidR="00B73966" w:rsidRPr="002C316B">
        <w:rPr>
          <w:b/>
          <w:bCs/>
          <w:i/>
          <w:iCs/>
        </w:rPr>
        <w:t>Την εναρμόνιση με το κοινοτικό κεκτημένο</w:t>
      </w:r>
      <w:r w:rsidR="00B73966" w:rsidRPr="002C316B">
        <w:rPr>
          <w:b/>
          <w:bCs/>
        </w:rPr>
        <w:t>.</w:t>
      </w:r>
      <w:bookmarkEnd w:id="6"/>
    </w:p>
    <w:p w:rsidR="00A358F4" w:rsidRPr="002C316B" w:rsidRDefault="00B73966" w:rsidP="007169D1">
      <w:pPr>
        <w:pStyle w:val="TOC1"/>
        <w:rPr>
          <w:b/>
        </w:rPr>
      </w:pPr>
      <w:r w:rsidRPr="002C316B">
        <w:t xml:space="preserve">Σύνταξη νομοσχεδίων για εναρμόνιση της εθνικής νομοθεσίας με το Ευρωπαϊκό Κεκτημένο </w:t>
      </w:r>
      <w:bookmarkStart w:id="7" w:name="_Toc159829545"/>
    </w:p>
    <w:p w:rsidR="00A358F4" w:rsidRPr="002C316B" w:rsidRDefault="00A358F4" w:rsidP="007169D1">
      <w:pPr>
        <w:pStyle w:val="TOC1"/>
      </w:pPr>
    </w:p>
    <w:p w:rsidR="00A358F4" w:rsidRPr="002C316B" w:rsidRDefault="00B71BC0" w:rsidP="00810073">
      <w:pPr>
        <w:shd w:val="clear" w:color="auto" w:fill="FFFFFF"/>
        <w:rPr>
          <w:b/>
          <w:bCs/>
          <w:i/>
          <w:iCs/>
          <w:shd w:val="clear" w:color="auto" w:fill="FFFFFF"/>
        </w:rPr>
      </w:pPr>
      <w:r w:rsidRPr="002C316B">
        <w:rPr>
          <w:b/>
          <w:bCs/>
          <w:i/>
          <w:iCs/>
          <w:shd w:val="clear" w:color="auto" w:fill="FFFFFF"/>
        </w:rPr>
        <w:t xml:space="preserve">2. </w:t>
      </w:r>
      <w:r w:rsidR="00B73966" w:rsidRPr="002C316B">
        <w:rPr>
          <w:b/>
          <w:bCs/>
          <w:i/>
          <w:iCs/>
          <w:shd w:val="clear" w:color="auto" w:fill="FFFFFF"/>
        </w:rPr>
        <w:t>Την εφαρμογή Νομοθεσίας για Φάρμακα, Ναρκωτικά, Καλλυντικά και το Επάγγελμα Φαρμακοποιού</w:t>
      </w:r>
      <w:bookmarkEnd w:id="7"/>
      <w:r w:rsidR="00810073" w:rsidRPr="002C316B">
        <w:rPr>
          <w:b/>
          <w:bCs/>
          <w:i/>
          <w:iCs/>
          <w:shd w:val="clear" w:color="auto" w:fill="FFFFFF"/>
        </w:rPr>
        <w:t>.</w:t>
      </w:r>
      <w:r w:rsidR="00B73966" w:rsidRPr="002C316B">
        <w:rPr>
          <w:b/>
          <w:bCs/>
          <w:i/>
          <w:iCs/>
          <w:shd w:val="clear" w:color="auto" w:fill="FFFFFF"/>
        </w:rPr>
        <w:t xml:space="preserve"> </w:t>
      </w:r>
    </w:p>
    <w:p w:rsidR="00A358F4" w:rsidRPr="00B71BC0" w:rsidRDefault="00B73966" w:rsidP="007169D1">
      <w:pPr>
        <w:spacing w:before="240"/>
        <w:rPr>
          <w:rFonts w:ascii="Arial Black" w:hAnsi="Arial Black" w:cs="Arial"/>
          <w:b/>
          <w:szCs w:val="40"/>
        </w:rPr>
      </w:pPr>
      <w:r>
        <w:rPr>
          <w:rFonts w:ascii="Arial Black" w:hAnsi="Arial Black" w:cs="Arial"/>
          <w:b/>
          <w:bCs/>
        </w:rPr>
        <w:t>■</w:t>
      </w:r>
      <w:r w:rsidR="00C0113C">
        <w:rPr>
          <w:rFonts w:ascii="Arial Black" w:hAnsi="Arial Black" w:cs="Arial"/>
          <w:b/>
          <w:bCs/>
        </w:rPr>
        <w:t xml:space="preserve"> </w:t>
      </w:r>
      <w:r w:rsidRPr="00645C74">
        <w:rPr>
          <w:b/>
        </w:rPr>
        <w:t>Φάρμακα</w:t>
      </w:r>
      <w:r w:rsidRPr="00645C74">
        <w:rPr>
          <w:b/>
          <w:szCs w:val="40"/>
        </w:rPr>
        <w:t xml:space="preserve"> </w:t>
      </w:r>
      <w:bookmarkStart w:id="8" w:name="_Toc159829547"/>
    </w:p>
    <w:p w:rsidR="00A358F4" w:rsidRPr="00645C74" w:rsidRDefault="00B73966" w:rsidP="007169D1">
      <w:pPr>
        <w:pStyle w:val="TOC1"/>
        <w:rPr>
          <w:b/>
        </w:rPr>
      </w:pPr>
      <w:r w:rsidRPr="00645C74">
        <w:t>Άδειες κυκλοφορίας φαρμάκων</w:t>
      </w:r>
      <w:bookmarkStart w:id="9" w:name="_Toc159829548"/>
      <w:bookmarkEnd w:id="8"/>
      <w:r w:rsidR="00645C74">
        <w:t>,</w:t>
      </w:r>
    </w:p>
    <w:p w:rsidR="00A358F4" w:rsidRDefault="00B73966">
      <w:pPr>
        <w:spacing w:after="0"/>
      </w:pPr>
      <w:r>
        <w:t>Άδειες παρασκευής και Χονδρικής πώλησης</w:t>
      </w:r>
      <w:bookmarkStart w:id="10" w:name="_Toc159829549"/>
      <w:bookmarkEnd w:id="9"/>
      <w:r>
        <w:t>,</w:t>
      </w:r>
    </w:p>
    <w:p w:rsidR="00A358F4" w:rsidRDefault="00B73966">
      <w:pPr>
        <w:spacing w:after="0"/>
      </w:pPr>
      <w:r>
        <w:t>Φαρμακοεπαγρύπνηση</w:t>
      </w:r>
      <w:bookmarkStart w:id="11" w:name="_Toc159829550"/>
      <w:bookmarkEnd w:id="10"/>
      <w:r>
        <w:t>,</w:t>
      </w:r>
    </w:p>
    <w:p w:rsidR="00A358F4" w:rsidRDefault="00B73966">
      <w:pPr>
        <w:spacing w:after="0"/>
      </w:pPr>
      <w:r>
        <w:t>Διαφήμιση</w:t>
      </w:r>
      <w:bookmarkStart w:id="12" w:name="_Toc159829551"/>
      <w:bookmarkEnd w:id="11"/>
      <w:r>
        <w:t>,</w:t>
      </w:r>
    </w:p>
    <w:p w:rsidR="00A358F4" w:rsidRDefault="00B73966">
      <w:pPr>
        <w:spacing w:after="0"/>
      </w:pPr>
      <w:r>
        <w:t>Καθορισμός τιμών των φαρμάκων</w:t>
      </w:r>
      <w:bookmarkEnd w:id="12"/>
      <w:r w:rsidR="00645C74">
        <w:t>,</w:t>
      </w:r>
      <w:bookmarkStart w:id="13" w:name="_Toc159829552"/>
    </w:p>
    <w:p w:rsidR="00A358F4" w:rsidRDefault="00B73966">
      <w:pPr>
        <w:spacing w:after="0"/>
      </w:pPr>
      <w:r>
        <w:t>Επιθεωρήσεις υποστατικών των εμπόρων χονδρικής πώλησης και των υποστατικών κατασκευής φαρμακευτικών προϊόντων στην Κύπρο.</w:t>
      </w:r>
      <w:bookmarkEnd w:id="13"/>
      <w:r>
        <w:t xml:space="preserve"> </w:t>
      </w:r>
    </w:p>
    <w:p w:rsidR="00A358F4" w:rsidRPr="00B71BC0" w:rsidRDefault="00B73966" w:rsidP="007169D1">
      <w:pPr>
        <w:pStyle w:val="TOC1"/>
      </w:pPr>
      <w:r>
        <w:t>■</w:t>
      </w:r>
      <w:r w:rsidRPr="007169D1">
        <w:rPr>
          <w:b/>
        </w:rPr>
        <w:t xml:space="preserve"> Ναρκωτικά</w:t>
      </w:r>
      <w:bookmarkStart w:id="14" w:name="_Toc159829554"/>
    </w:p>
    <w:p w:rsidR="00A358F4" w:rsidRDefault="00B73966" w:rsidP="007169D1">
      <w:pPr>
        <w:spacing w:before="240" w:after="0"/>
      </w:pPr>
      <w:r>
        <w:t>Έλεγχος της νόμιμης διακίνησης ναρκωτικών</w:t>
      </w:r>
      <w:r w:rsidR="00B6218A">
        <w:t>,</w:t>
      </w:r>
      <w:r>
        <w:t xml:space="preserve"> ψυχοτρόπων </w:t>
      </w:r>
      <w:r w:rsidR="00B6218A">
        <w:t xml:space="preserve">και πρόδρομων </w:t>
      </w:r>
      <w:r>
        <w:t>ουσιών</w:t>
      </w:r>
      <w:r>
        <w:rPr>
          <w:szCs w:val="28"/>
        </w:rPr>
        <w:t>.</w:t>
      </w:r>
      <w:bookmarkStart w:id="15" w:name="_Toc159829555"/>
      <w:bookmarkEnd w:id="14"/>
      <w:r>
        <w:t xml:space="preserve"> </w:t>
      </w:r>
    </w:p>
    <w:p w:rsidR="00A358F4" w:rsidRPr="00B71BC0" w:rsidRDefault="00B73966" w:rsidP="007169D1">
      <w:pPr>
        <w:pStyle w:val="TOC1"/>
        <w:rPr>
          <w:bCs/>
        </w:rPr>
      </w:pPr>
      <w:r>
        <w:t>■</w:t>
      </w:r>
      <w:r w:rsidRPr="007169D1">
        <w:rPr>
          <w:b/>
        </w:rPr>
        <w:t xml:space="preserve"> Καλλυντικά</w:t>
      </w:r>
      <w:bookmarkStart w:id="16" w:name="_Toc159829556"/>
      <w:bookmarkEnd w:id="15"/>
    </w:p>
    <w:p w:rsidR="00A358F4" w:rsidRPr="00645C74" w:rsidRDefault="00B73966" w:rsidP="007169D1">
      <w:pPr>
        <w:pStyle w:val="TOC1"/>
      </w:pPr>
      <w:r w:rsidRPr="007169D1">
        <w:t>Έλεγχος της κυκλοφορίας στην Κύπρο των καλλυντικών προϊόντων</w:t>
      </w:r>
      <w:bookmarkStart w:id="17" w:name="_Toc159829557"/>
      <w:bookmarkEnd w:id="16"/>
      <w:r w:rsidR="00645C74" w:rsidRPr="007169D1">
        <w:t>,</w:t>
      </w:r>
    </w:p>
    <w:p w:rsidR="00A358F4" w:rsidRDefault="007169D1" w:rsidP="007169D1">
      <w:pPr>
        <w:spacing w:after="0"/>
      </w:pPr>
      <w:r>
        <w:t>Ε</w:t>
      </w:r>
      <w:r w:rsidR="00B73966">
        <w:t>πιθεωρήσεις</w:t>
      </w:r>
      <w:bookmarkEnd w:id="17"/>
      <w:r w:rsidR="00B73966">
        <w:t xml:space="preserve"> υποστατικών χονδρικής και λιανικής πώλησης και των υποστατικών κατασκευής καλλυντικών προϊόντων στην Κύπρο.</w:t>
      </w:r>
    </w:p>
    <w:p w:rsidR="00A358F4" w:rsidRPr="007169D1" w:rsidRDefault="00B73966" w:rsidP="007169D1">
      <w:pPr>
        <w:pStyle w:val="TOC1"/>
        <w:rPr>
          <w:b/>
        </w:rPr>
      </w:pPr>
      <w:r>
        <w:t xml:space="preserve">■ </w:t>
      </w:r>
      <w:r w:rsidRPr="007169D1">
        <w:rPr>
          <w:b/>
        </w:rPr>
        <w:t>Φαρμακοποιοί / Φαρμακεία</w:t>
      </w:r>
      <w:bookmarkStart w:id="18" w:name="_Toc159829559"/>
    </w:p>
    <w:p w:rsidR="00A358F4" w:rsidRPr="007169D1" w:rsidRDefault="00B73966" w:rsidP="007169D1">
      <w:pPr>
        <w:pStyle w:val="TOC1"/>
      </w:pPr>
      <w:r w:rsidRPr="007169D1">
        <w:t>Εγγραφή Φαρμακοποιών</w:t>
      </w:r>
      <w:bookmarkEnd w:id="18"/>
      <w:r w:rsidR="00645C74" w:rsidRPr="007169D1">
        <w:t>,</w:t>
      </w:r>
    </w:p>
    <w:p w:rsidR="00A358F4" w:rsidRDefault="00B73966">
      <w:pPr>
        <w:spacing w:after="0"/>
      </w:pPr>
      <w:r>
        <w:t>Διακίνηση των Ευρωπαίων Φαρμακοποιών</w:t>
      </w:r>
      <w:bookmarkStart w:id="19" w:name="_Toc159829561"/>
      <w:r>
        <w:t>,</w:t>
      </w:r>
    </w:p>
    <w:p w:rsidR="00A358F4" w:rsidRDefault="00B73966">
      <w:pPr>
        <w:spacing w:after="0"/>
      </w:pPr>
      <w:r>
        <w:t>Εγγραφή και έλεγχος και επιθεωρήσεις των κρατικών και ιδιωτικών φαρμακείων,</w:t>
      </w:r>
      <w:bookmarkEnd w:id="19"/>
      <w:r>
        <w:t xml:space="preserve"> </w:t>
      </w:r>
      <w:bookmarkStart w:id="20" w:name="_Toc159829562"/>
    </w:p>
    <w:p w:rsidR="00A358F4" w:rsidRPr="00B71BC0" w:rsidRDefault="00B73966">
      <w:pPr>
        <w:spacing w:after="0"/>
      </w:pPr>
      <w:r>
        <w:t>Αμοιβαία αναγνώριση διπλωμάτων και επαγγελματικών τίτλων Φαρμακευτικής</w:t>
      </w:r>
      <w:bookmarkEnd w:id="20"/>
      <w:r w:rsidR="00117D9F" w:rsidRPr="00B71BC0">
        <w:t>.</w:t>
      </w:r>
    </w:p>
    <w:p w:rsidR="00A358F4" w:rsidRDefault="00A358F4">
      <w:pPr>
        <w:spacing w:after="0"/>
      </w:pPr>
    </w:p>
    <w:p w:rsidR="00A358F4" w:rsidRPr="007169D1" w:rsidRDefault="00B71BC0" w:rsidP="00647A75">
      <w:pPr>
        <w:pStyle w:val="BodyText2"/>
        <w:shd w:val="clear" w:color="auto" w:fill="FFFFFF"/>
        <w:spacing w:after="100" w:afterAutospacing="1"/>
        <w:rPr>
          <w:rFonts w:ascii="Times New Roman" w:hAnsi="Times New Roman"/>
          <w:b/>
          <w:i/>
          <w:iCs/>
        </w:rPr>
      </w:pPr>
      <w:r w:rsidRPr="00B71BC0">
        <w:rPr>
          <w:rFonts w:ascii="Arial" w:hAnsi="Arial" w:cs="Arial"/>
          <w:b/>
          <w:bCs/>
          <w:i/>
          <w:iCs/>
        </w:rPr>
        <w:t>3</w:t>
      </w:r>
      <w:r w:rsidRPr="007169D1">
        <w:rPr>
          <w:rFonts w:ascii="Times New Roman" w:hAnsi="Times New Roman"/>
          <w:b/>
          <w:bCs/>
          <w:i/>
          <w:iCs/>
        </w:rPr>
        <w:t xml:space="preserve">. </w:t>
      </w:r>
      <w:bookmarkStart w:id="21" w:name="_Toc159829568"/>
      <w:r w:rsidR="00B73966" w:rsidRPr="007169D1">
        <w:rPr>
          <w:rFonts w:ascii="Times New Roman" w:hAnsi="Times New Roman"/>
          <w:b/>
          <w:bCs/>
          <w:i/>
          <w:iCs/>
        </w:rPr>
        <w:t>Την ενημέρωση των λειτουργών υγείας, των αρμόδιων φορέων και του κοινού με αντικειμενικές και χρήσιμες πληροφορίες, σχετικά με τα φαρμακευτικά προϊόντα ανθρώπινης χρήσης και τα καλλυντικά με σκοπό την ορθή και ασφαλή τους χρήση</w:t>
      </w:r>
      <w:r w:rsidR="00B73966" w:rsidRPr="007169D1">
        <w:rPr>
          <w:rFonts w:ascii="Times New Roman" w:hAnsi="Times New Roman"/>
          <w:b/>
          <w:i/>
          <w:iCs/>
        </w:rPr>
        <w:t>.</w:t>
      </w:r>
      <w:bookmarkEnd w:id="21"/>
    </w:p>
    <w:p w:rsidR="00647A75" w:rsidRPr="007169D1" w:rsidRDefault="00647A75" w:rsidP="00647A75">
      <w:pPr>
        <w:pStyle w:val="BodyText2"/>
        <w:shd w:val="clear" w:color="auto" w:fill="FFFFFF"/>
        <w:spacing w:after="100" w:afterAutospacing="1"/>
        <w:rPr>
          <w:rFonts w:ascii="Times New Roman" w:hAnsi="Times New Roman"/>
          <w:b/>
          <w:i/>
          <w:iCs/>
        </w:rPr>
      </w:pPr>
      <w:r w:rsidRPr="007169D1">
        <w:rPr>
          <w:rFonts w:ascii="Times New Roman" w:hAnsi="Times New Roman"/>
          <w:b/>
          <w:i/>
          <w:iCs/>
        </w:rPr>
        <w:t xml:space="preserve">4. Την προώθηση της συνεργασίας στον Τομέα της Φαρμακευτικής, μεταξύ της Κυπριακής Δημοκρατίας και άλλων χωρών ή Διεθνών οργανισμών.  </w:t>
      </w:r>
    </w:p>
    <w:p w:rsidR="00A358F4" w:rsidRPr="007169D1" w:rsidRDefault="00647A75" w:rsidP="00647A75">
      <w:pPr>
        <w:spacing w:after="0"/>
        <w:rPr>
          <w:b/>
          <w:i/>
        </w:rPr>
      </w:pPr>
      <w:r w:rsidRPr="007169D1">
        <w:rPr>
          <w:b/>
          <w:i/>
        </w:rPr>
        <w:t>5. Τη διασφάλιση της επάρκειας φαρμάκων και άλλων ειδών για τα κρατικά νοσηλευτήρια.</w:t>
      </w:r>
    </w:p>
    <w:p w:rsidR="00A358F4" w:rsidRPr="00416FDF" w:rsidRDefault="00C95588" w:rsidP="00647A75">
      <w:pPr>
        <w:spacing w:before="80" w:after="0"/>
      </w:pPr>
      <w:r>
        <w:lastRenderedPageBreak/>
        <w:t>■</w:t>
      </w:r>
      <w:r w:rsidR="00075D70">
        <w:t xml:space="preserve"> </w:t>
      </w:r>
      <w:r w:rsidR="00B73966" w:rsidRPr="00416FDF">
        <w:t>Διενέργεια δημόσιων διαγωνισμών σύμφωνα με τον περί Σύναψης Δημοσίων Συμβάσεων Νόμο,</w:t>
      </w:r>
    </w:p>
    <w:p w:rsidR="00A358F4" w:rsidRPr="00416FDF" w:rsidRDefault="00C95588" w:rsidP="007169D1">
      <w:pPr>
        <w:pStyle w:val="TOC1"/>
        <w:rPr>
          <w:b/>
        </w:rPr>
      </w:pPr>
      <w:r>
        <w:t>■</w:t>
      </w:r>
      <w:r w:rsidR="00075D70">
        <w:t xml:space="preserve"> </w:t>
      </w:r>
      <w:r w:rsidR="00B73966" w:rsidRPr="00416FDF">
        <w:t>Ορθή παραλαβή, αποθήκευση και διανομή στα κρατικά νοσηλευτήρια,</w:t>
      </w:r>
    </w:p>
    <w:p w:rsidR="00A358F4" w:rsidRPr="00416FDF" w:rsidRDefault="00C95588">
      <w:pPr>
        <w:spacing w:after="0"/>
      </w:pPr>
      <w:bookmarkStart w:id="22" w:name="_Toc159829566"/>
      <w:r>
        <w:t>■</w:t>
      </w:r>
      <w:r w:rsidR="00075D70">
        <w:t xml:space="preserve"> </w:t>
      </w:r>
      <w:r w:rsidR="00B73966" w:rsidRPr="00416FDF">
        <w:t>Χορήγηση φαρμάκων και άλλων ειδών από τα κρατικά φαρμακεία στους ασθενείς είτε μέσω της εκτέλεσης των ιατρικών συνταγών είτε με δελτία θεραπείας σε εσωτερικούς ασθενείς,</w:t>
      </w:r>
    </w:p>
    <w:p w:rsidR="00A358F4" w:rsidRPr="00416FDF" w:rsidRDefault="00C95588">
      <w:pPr>
        <w:spacing w:after="0"/>
      </w:pPr>
      <w:bookmarkStart w:id="23" w:name="_Toc159829567"/>
      <w:bookmarkEnd w:id="22"/>
      <w:r>
        <w:t>■</w:t>
      </w:r>
      <w:r w:rsidR="00075D70">
        <w:t xml:space="preserve"> </w:t>
      </w:r>
      <w:r w:rsidR="00B73966" w:rsidRPr="00416FDF">
        <w:t>Παρασκευή διαλυμάτων παρεντερικής διατροφής</w:t>
      </w:r>
      <w:bookmarkEnd w:id="23"/>
      <w:r w:rsidR="00416FDF">
        <w:t>.</w:t>
      </w:r>
    </w:p>
    <w:p w:rsidR="00A358F4" w:rsidRPr="00416FDF" w:rsidRDefault="00A358F4">
      <w:pPr>
        <w:spacing w:after="0"/>
      </w:pPr>
    </w:p>
    <w:p w:rsidR="00A358F4" w:rsidRDefault="00B73966" w:rsidP="003C02BD">
      <w:pPr>
        <w:pStyle w:val="Heading2"/>
        <w:rPr>
          <w:lang w:val="en-US"/>
        </w:rPr>
      </w:pPr>
      <w:bookmarkStart w:id="24" w:name="_Toc383086782"/>
      <w:r>
        <w:t>Τομείς Φαρμακευτικών Υπηρεσιών</w:t>
      </w:r>
      <w:bookmarkEnd w:id="24"/>
      <w:r>
        <w:t xml:space="preserve"> </w:t>
      </w:r>
    </w:p>
    <w:p w:rsidR="003C02BD" w:rsidRPr="003C02BD" w:rsidRDefault="003C02BD" w:rsidP="003C02BD">
      <w:pPr>
        <w:pStyle w:val="ListParagraph"/>
        <w:keepNext/>
        <w:pageBreakBefore/>
        <w:numPr>
          <w:ilvl w:val="1"/>
          <w:numId w:val="44"/>
        </w:numPr>
        <w:spacing w:before="240" w:after="240"/>
        <w:contextualSpacing w:val="0"/>
        <w:jc w:val="center"/>
        <w:outlineLvl w:val="0"/>
        <w:rPr>
          <w:rFonts w:ascii="Arial" w:hAnsi="Arial" w:cs="Arial"/>
          <w:b/>
          <w:bCs/>
          <w:vanish/>
          <w:color w:val="FF0000"/>
          <w:kern w:val="32"/>
          <w:sz w:val="32"/>
          <w:szCs w:val="32"/>
          <w:lang w:val="el-GR" w:eastAsia="el-GR"/>
        </w:rPr>
      </w:pPr>
      <w:bookmarkStart w:id="25" w:name="_Toc383085450"/>
      <w:bookmarkStart w:id="26" w:name="_Toc383086220"/>
      <w:bookmarkStart w:id="27" w:name="_Toc383086783"/>
      <w:bookmarkStart w:id="28" w:name="_Toc227378403"/>
      <w:bookmarkEnd w:id="25"/>
      <w:bookmarkEnd w:id="26"/>
      <w:bookmarkEnd w:id="27"/>
    </w:p>
    <w:p w:rsidR="00641DE4" w:rsidRDefault="00641DE4" w:rsidP="003C02BD">
      <w:pPr>
        <w:pStyle w:val="Heading3"/>
      </w:pPr>
      <w:bookmarkStart w:id="29" w:name="_Toc383086784"/>
      <w:r>
        <w:t>Τομέας Προμηθειών</w:t>
      </w:r>
      <w:bookmarkEnd w:id="28"/>
      <w:bookmarkEnd w:id="29"/>
    </w:p>
    <w:p w:rsidR="00641DE4" w:rsidRDefault="00641DE4" w:rsidP="00641DE4"/>
    <w:p w:rsidR="00641DE4" w:rsidRDefault="00641DE4" w:rsidP="00641DE4">
      <w:pPr>
        <w:spacing w:before="120"/>
      </w:pPr>
      <w:r>
        <w:t>Ο Τομέας Προμηθειών έχει την ευθύνη για την προμήθεια, παραλαβή και διανομή φαρμακευτικών προϊόντων και ιατρικών αναλωσίμων για κάλυψη αναγκών των Κρατικών νοσηλευτηρίων. Στόχος του Τομέα είναι η καλύτερη δυνατή εξυπηρέτηση των κρατικών νοσηλευτηρίων και κατ΄ επέκταση των δικαιούχων ασθενών.</w:t>
      </w:r>
    </w:p>
    <w:p w:rsidR="00641DE4" w:rsidRDefault="00641DE4" w:rsidP="00641DE4">
      <w:r>
        <w:t xml:space="preserve">Τέσσερις τριμελείς ομάδες έχουν την πλήρη ευθύνη για την αλυσίδα προμήθειας συγκεκριμένων φαρμάκων η κάθε μία (ανά κατηγορία </w:t>
      </w:r>
      <w:r>
        <w:rPr>
          <w:lang w:val="en-US"/>
        </w:rPr>
        <w:t>ATC</w:t>
      </w:r>
      <w:r>
        <w:t>)  και μία τριμελής ομάδα έχει την  ευθύνη για την προμήθεια ιατρικών αναλωσίμων, με καθήκοντα που αφορούν</w:t>
      </w:r>
      <w:r>
        <w:rPr>
          <w:i/>
        </w:rPr>
        <w:t>:</w:t>
      </w:r>
    </w:p>
    <w:p w:rsidR="00641DE4" w:rsidRDefault="00641DE4" w:rsidP="00641DE4">
      <w:pPr>
        <w:numPr>
          <w:ilvl w:val="1"/>
          <w:numId w:val="22"/>
        </w:numPr>
        <w:spacing w:after="60"/>
        <w:rPr>
          <w:i/>
        </w:rPr>
      </w:pPr>
      <w:r>
        <w:rPr>
          <w:i/>
        </w:rPr>
        <w:t>Εντοπισμό αναγκών.</w:t>
      </w:r>
    </w:p>
    <w:p w:rsidR="00641DE4" w:rsidRDefault="00641DE4" w:rsidP="00641DE4">
      <w:pPr>
        <w:numPr>
          <w:ilvl w:val="1"/>
          <w:numId w:val="22"/>
        </w:numPr>
        <w:spacing w:after="60"/>
        <w:rPr>
          <w:i/>
        </w:rPr>
      </w:pPr>
      <w:r>
        <w:rPr>
          <w:i/>
        </w:rPr>
        <w:t>Προκήρυξη προσφορών.</w:t>
      </w:r>
    </w:p>
    <w:p w:rsidR="00641DE4" w:rsidRDefault="00641DE4" w:rsidP="00641DE4">
      <w:pPr>
        <w:numPr>
          <w:ilvl w:val="1"/>
          <w:numId w:val="22"/>
        </w:numPr>
        <w:spacing w:after="60"/>
        <w:rPr>
          <w:i/>
        </w:rPr>
      </w:pPr>
      <w:r>
        <w:rPr>
          <w:i/>
        </w:rPr>
        <w:t>Παρακολούθηση των συμβάσεων.</w:t>
      </w:r>
    </w:p>
    <w:p w:rsidR="00641DE4" w:rsidRDefault="00641DE4" w:rsidP="00641DE4">
      <w:pPr>
        <w:numPr>
          <w:ilvl w:val="1"/>
          <w:numId w:val="22"/>
        </w:numPr>
        <w:spacing w:after="60"/>
        <w:rPr>
          <w:i/>
        </w:rPr>
      </w:pPr>
      <w:r>
        <w:rPr>
          <w:i/>
        </w:rPr>
        <w:t>Τροχοδρόμηση και ολοκλήρωση συνοπτικών διαδικασιών.</w:t>
      </w:r>
    </w:p>
    <w:p w:rsidR="00641DE4" w:rsidRDefault="00641DE4" w:rsidP="00641DE4">
      <w:pPr>
        <w:numPr>
          <w:ilvl w:val="1"/>
          <w:numId w:val="22"/>
        </w:numPr>
        <w:spacing w:after="60"/>
        <w:rPr>
          <w:i/>
        </w:rPr>
      </w:pPr>
      <w:r>
        <w:rPr>
          <w:i/>
        </w:rPr>
        <w:t>Αποστολή τηλεομοιότυπων για τμηματικές παραδόσεις και την άσκηση των δικαιωμάτων προαίρεσης (</w:t>
      </w:r>
      <w:r>
        <w:rPr>
          <w:i/>
          <w:lang w:val="en-US"/>
        </w:rPr>
        <w:t>additional</w:t>
      </w:r>
      <w:r>
        <w:rPr>
          <w:i/>
        </w:rPr>
        <w:t>).</w:t>
      </w:r>
    </w:p>
    <w:p w:rsidR="00641DE4" w:rsidRDefault="00641DE4" w:rsidP="00641DE4">
      <w:pPr>
        <w:numPr>
          <w:ilvl w:val="1"/>
          <w:numId w:val="22"/>
        </w:numPr>
        <w:spacing w:after="60"/>
        <w:rPr>
          <w:i/>
        </w:rPr>
      </w:pPr>
      <w:r>
        <w:rPr>
          <w:i/>
        </w:rPr>
        <w:t>Συμμετοχή στην ομάδα αξιολόγησης.</w:t>
      </w:r>
    </w:p>
    <w:p w:rsidR="00641DE4" w:rsidRDefault="00641DE4" w:rsidP="00641DE4">
      <w:pPr>
        <w:numPr>
          <w:ilvl w:val="1"/>
          <w:numId w:val="22"/>
        </w:numPr>
        <w:spacing w:after="60"/>
        <w:rPr>
          <w:i/>
        </w:rPr>
      </w:pPr>
      <w:r>
        <w:rPr>
          <w:i/>
        </w:rPr>
        <w:t>Ετοιμασία καταλόγου των προϊόντων προς έκδοση (</w:t>
      </w:r>
      <w:r>
        <w:rPr>
          <w:i/>
          <w:lang w:val="en-US"/>
        </w:rPr>
        <w:t>picking</w:t>
      </w:r>
      <w:r>
        <w:rPr>
          <w:i/>
        </w:rPr>
        <w:t xml:space="preserve"> </w:t>
      </w:r>
      <w:r>
        <w:rPr>
          <w:i/>
          <w:lang w:val="en-US"/>
        </w:rPr>
        <w:t>list</w:t>
      </w:r>
      <w:r>
        <w:rPr>
          <w:i/>
        </w:rPr>
        <w:t>), την καταχώρηση των παραλαβών και των εκδόσεων στις πινακίδες διακίνησης των φαρμάκων (</w:t>
      </w:r>
      <w:r>
        <w:rPr>
          <w:i/>
          <w:lang w:val="en-US"/>
        </w:rPr>
        <w:t>tally</w:t>
      </w:r>
      <w:r>
        <w:rPr>
          <w:i/>
        </w:rPr>
        <w:t xml:space="preserve"> </w:t>
      </w:r>
      <w:r>
        <w:rPr>
          <w:i/>
          <w:lang w:val="en-US"/>
        </w:rPr>
        <w:t>cards</w:t>
      </w:r>
      <w:r>
        <w:rPr>
          <w:i/>
        </w:rPr>
        <w:t>) και την αποστολή των φαρμάκων στα κρατικά φαρμακεία και άλλα ιδρύματα.</w:t>
      </w:r>
    </w:p>
    <w:p w:rsidR="00641DE4" w:rsidRDefault="00641DE4" w:rsidP="00641DE4">
      <w:pPr>
        <w:numPr>
          <w:ilvl w:val="1"/>
          <w:numId w:val="22"/>
        </w:numPr>
        <w:spacing w:after="60"/>
        <w:rPr>
          <w:i/>
        </w:rPr>
      </w:pPr>
      <w:r>
        <w:rPr>
          <w:i/>
        </w:rPr>
        <w:t>Επικοινωνία με τα κρατικά φαρμακεία για άμεση και έγκαιρη επίλυση προβλημάτων που δυνατόν να προκύψουν.</w:t>
      </w:r>
    </w:p>
    <w:p w:rsidR="00641DE4" w:rsidRDefault="00641DE4" w:rsidP="00641DE4">
      <w:pPr>
        <w:numPr>
          <w:ilvl w:val="1"/>
          <w:numId w:val="22"/>
        </w:numPr>
        <w:spacing w:after="60"/>
        <w:rPr>
          <w:i/>
        </w:rPr>
      </w:pPr>
      <w:r>
        <w:rPr>
          <w:i/>
        </w:rPr>
        <w:t>“Συμφιλίωση” των αποθεμάτων.</w:t>
      </w:r>
    </w:p>
    <w:p w:rsidR="00641DE4" w:rsidRDefault="00641DE4" w:rsidP="00641DE4">
      <w:pPr>
        <w:spacing w:before="120"/>
      </w:pPr>
    </w:p>
    <w:p w:rsidR="00641DE4" w:rsidRDefault="00641DE4" w:rsidP="00641DE4">
      <w:r>
        <w:t xml:space="preserve">Επιπλέον ο Τομέας περιλαμβάνει: </w:t>
      </w:r>
    </w:p>
    <w:p w:rsidR="00641DE4" w:rsidRDefault="00641DE4" w:rsidP="00641DE4">
      <w:pPr>
        <w:numPr>
          <w:ilvl w:val="0"/>
          <w:numId w:val="23"/>
        </w:numPr>
      </w:pPr>
      <w:r>
        <w:t>Ομάδα παραλαβής με ευθύνη την παραλαβή των προμηθειών σύμφωνα με τις Κ.Δ.Π. 115/2004.</w:t>
      </w:r>
    </w:p>
    <w:p w:rsidR="00641DE4" w:rsidRDefault="00641DE4" w:rsidP="00641DE4">
      <w:pPr>
        <w:numPr>
          <w:ilvl w:val="0"/>
          <w:numId w:val="23"/>
        </w:numPr>
      </w:pPr>
      <w:r>
        <w:t>Επιτροπή Αξιολόγησης η οποία ορίζεται για κάθε διαγωνισμό και έχει την ευθύνη της αξιολόγησης των προσφορών, την ετοιμασία του πρακτικού ανάθεσης της σύμβασης ή του πρακτικού ακύρωσης του διαγωνισμού, την ετοιμασία εμπεριστατωμένης έκθεσης αξιολόγησης που αποστέλλεται στο αρμόδιο συμβούλιο προσφορών για λήψη απόφασης καθώς και το χειρισμό ιεραρχικών προσφυγών.</w:t>
      </w:r>
    </w:p>
    <w:p w:rsidR="00641DE4" w:rsidRDefault="00641DE4" w:rsidP="00641DE4">
      <w:pPr>
        <w:numPr>
          <w:ilvl w:val="0"/>
          <w:numId w:val="23"/>
        </w:numPr>
        <w:spacing w:after="240"/>
      </w:pPr>
      <w:r>
        <w:lastRenderedPageBreak/>
        <w:t>Ομάδα ανάθεσης με αρμοδιότητα την αποστολή προκηρύξεων στην Ευρωπαϊκή Ένωση, την παρακολούθηση χρονοδιαγραμμάτων από την προκήρυξη μέχρι υπογραφή της σύμβασης, τη γνωστοποίηση αποτελεσμάτων και την ετοιμασία και υπογραφή των συμβάσεων.</w:t>
      </w:r>
    </w:p>
    <w:p w:rsidR="00641DE4" w:rsidRDefault="00641DE4" w:rsidP="00641DE4">
      <w:pPr>
        <w:spacing w:after="240"/>
      </w:pPr>
    </w:p>
    <w:p w:rsidR="00641DE4" w:rsidRDefault="00641DE4" w:rsidP="00641DE4">
      <w:pPr>
        <w:spacing w:after="100" w:afterAutospacing="1"/>
      </w:pPr>
      <w:r>
        <w:t>Ο όγκος εργασιών απεικονίζεται στους πιο κάτω συγκριτικούς πίνακες και γραφικές παραστάσεις (Πίνακας 1.2.1.α και Διάγραμμα 1.2.1.β).</w:t>
      </w:r>
    </w:p>
    <w:p w:rsidR="00641DE4" w:rsidRDefault="00641DE4" w:rsidP="00641DE4">
      <w:pPr>
        <w:pStyle w:val="Caption"/>
        <w:keepNext/>
        <w:jc w:val="both"/>
        <w:rPr>
          <w:sz w:val="24"/>
          <w:lang w:val="el-GR"/>
        </w:rPr>
      </w:pPr>
      <w:r w:rsidRPr="00641DE4">
        <w:rPr>
          <w:sz w:val="24"/>
          <w:lang w:val="el-GR"/>
        </w:rPr>
        <w:t xml:space="preserve">Πίνακας </w:t>
      </w:r>
      <w:r w:rsidR="00774D0A">
        <w:rPr>
          <w:sz w:val="24"/>
        </w:rPr>
        <w:fldChar w:fldCharType="begin"/>
      </w:r>
      <w:r w:rsidRPr="00641DE4">
        <w:rPr>
          <w:sz w:val="24"/>
          <w:lang w:val="el-GR"/>
        </w:rPr>
        <w:instrText xml:space="preserve"> </w:instrText>
      </w:r>
      <w:r>
        <w:rPr>
          <w:sz w:val="24"/>
        </w:rPr>
        <w:instrText>SEQ</w:instrText>
      </w:r>
      <w:r w:rsidRPr="00641DE4">
        <w:rPr>
          <w:sz w:val="24"/>
          <w:lang w:val="el-GR"/>
        </w:rPr>
        <w:instrText xml:space="preserve"> Πίνακας \* </w:instrText>
      </w:r>
      <w:r>
        <w:rPr>
          <w:sz w:val="24"/>
        </w:rPr>
        <w:instrText>ARABIC</w:instrText>
      </w:r>
      <w:r w:rsidRPr="00641DE4">
        <w:rPr>
          <w:sz w:val="24"/>
          <w:lang w:val="el-GR"/>
        </w:rPr>
        <w:instrText xml:space="preserve"> </w:instrText>
      </w:r>
      <w:r w:rsidR="00774D0A">
        <w:rPr>
          <w:sz w:val="24"/>
        </w:rPr>
        <w:fldChar w:fldCharType="separate"/>
      </w:r>
      <w:r w:rsidR="00C17044">
        <w:rPr>
          <w:noProof/>
          <w:sz w:val="24"/>
        </w:rPr>
        <w:t>1</w:t>
      </w:r>
      <w:r w:rsidR="00774D0A">
        <w:rPr>
          <w:sz w:val="24"/>
        </w:rPr>
        <w:fldChar w:fldCharType="end"/>
      </w:r>
      <w:r w:rsidRPr="00641DE4">
        <w:rPr>
          <w:sz w:val="24"/>
          <w:lang w:val="el-GR"/>
        </w:rPr>
        <w:t>.2.1.</w:t>
      </w:r>
      <w:r>
        <w:rPr>
          <w:sz w:val="24"/>
          <w:lang w:val="el-GR"/>
        </w:rPr>
        <w:t>α</w:t>
      </w:r>
      <w:r w:rsidRPr="00641DE4">
        <w:rPr>
          <w:sz w:val="24"/>
          <w:lang w:val="el-GR"/>
        </w:rPr>
        <w:t>: Ό</w:t>
      </w:r>
      <w:bookmarkStart w:id="30" w:name="Τ29"/>
      <w:bookmarkEnd w:id="30"/>
      <w:r w:rsidRPr="00641DE4">
        <w:rPr>
          <w:sz w:val="24"/>
          <w:lang w:val="el-GR"/>
        </w:rPr>
        <w:t>γκος  Εργασιών</w:t>
      </w:r>
    </w:p>
    <w:p w:rsidR="00641DE4" w:rsidRDefault="00641DE4" w:rsidP="00641DE4">
      <w:pPr>
        <w:rPr>
          <w:rFonts w:ascii="Arial" w:hAnsi="Arial"/>
        </w:rPr>
      </w:pPr>
    </w:p>
    <w:tbl>
      <w:tblPr>
        <w:tblW w:w="8566"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1775"/>
        <w:gridCol w:w="1557"/>
        <w:gridCol w:w="1557"/>
        <w:gridCol w:w="1557"/>
      </w:tblGrid>
      <w:tr w:rsidR="001F2602" w:rsidTr="001F2602">
        <w:trPr>
          <w:trHeight w:val="782"/>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tcPr>
          <w:p w:rsidR="001F2602" w:rsidRDefault="001F2602">
            <w:pPr>
              <w:rPr>
                <w:rFonts w:ascii="Arial" w:hAnsi="Arial" w:cs="Arial"/>
                <w:sz w:val="22"/>
                <w:szCs w:val="22"/>
              </w:rPr>
            </w:pPr>
          </w:p>
        </w:tc>
        <w:tc>
          <w:tcPr>
            <w:tcW w:w="177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Μονάδες Μέτρησης</w:t>
            </w:r>
          </w:p>
        </w:tc>
        <w:tc>
          <w:tcPr>
            <w:tcW w:w="155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Pr="00641DE4" w:rsidRDefault="001F2602">
            <w:pPr>
              <w:jc w:val="center"/>
              <w:rPr>
                <w:b/>
                <w:sz w:val="22"/>
                <w:szCs w:val="22"/>
              </w:rPr>
            </w:pPr>
            <w:r>
              <w:rPr>
                <w:b/>
                <w:sz w:val="22"/>
                <w:szCs w:val="22"/>
              </w:rPr>
              <w:t>2010</w:t>
            </w:r>
          </w:p>
        </w:tc>
        <w:tc>
          <w:tcPr>
            <w:tcW w:w="155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Pr="00641DE4" w:rsidRDefault="001F2602">
            <w:pPr>
              <w:jc w:val="center"/>
              <w:rPr>
                <w:b/>
                <w:sz w:val="22"/>
                <w:szCs w:val="22"/>
              </w:rPr>
            </w:pPr>
            <w:r>
              <w:rPr>
                <w:b/>
                <w:sz w:val="22"/>
                <w:szCs w:val="22"/>
              </w:rPr>
              <w:t>2011</w:t>
            </w:r>
          </w:p>
        </w:tc>
        <w:tc>
          <w:tcPr>
            <w:tcW w:w="1557" w:type="dxa"/>
            <w:tcBorders>
              <w:top w:val="single" w:sz="4" w:space="0" w:color="000000"/>
              <w:left w:val="single" w:sz="4" w:space="0" w:color="000000"/>
              <w:bottom w:val="single" w:sz="4" w:space="0" w:color="000000"/>
              <w:right w:val="single" w:sz="4" w:space="0" w:color="000000"/>
            </w:tcBorders>
            <w:shd w:val="pct10" w:color="auto" w:fill="auto"/>
            <w:vAlign w:val="center"/>
          </w:tcPr>
          <w:p w:rsidR="001F2602" w:rsidRDefault="001F2602" w:rsidP="001F2602">
            <w:pPr>
              <w:jc w:val="center"/>
              <w:rPr>
                <w:b/>
                <w:sz w:val="22"/>
                <w:szCs w:val="22"/>
              </w:rPr>
            </w:pPr>
            <w:r>
              <w:rPr>
                <w:b/>
                <w:sz w:val="22"/>
                <w:szCs w:val="22"/>
              </w:rPr>
              <w:t>2012</w:t>
            </w:r>
          </w:p>
        </w:tc>
      </w:tr>
      <w:tr w:rsidR="001F2602" w:rsidTr="001F2602">
        <w:trPr>
          <w:trHeight w:val="620"/>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Παραλαβές</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sz w:val="22"/>
                <w:szCs w:val="22"/>
              </w:rPr>
            </w:pPr>
            <w:r>
              <w:rPr>
                <w:sz w:val="22"/>
                <w:szCs w:val="22"/>
              </w:rPr>
              <w:t>Αρ.</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Pr="00641DE4" w:rsidRDefault="001F2602">
            <w:pPr>
              <w:jc w:val="right"/>
              <w:rPr>
                <w:b/>
                <w:sz w:val="22"/>
                <w:szCs w:val="22"/>
              </w:rPr>
            </w:pPr>
            <w:r w:rsidRPr="00641DE4">
              <w:rPr>
                <w:b/>
                <w:sz w:val="22"/>
                <w:szCs w:val="22"/>
              </w:rPr>
              <w:t>6.462</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rPr>
            </w:pPr>
            <w:r>
              <w:rPr>
                <w:b/>
                <w:sz w:val="22"/>
                <w:szCs w:val="22"/>
              </w:rPr>
              <w:t>6.007</w:t>
            </w:r>
          </w:p>
        </w:tc>
        <w:tc>
          <w:tcPr>
            <w:tcW w:w="1557" w:type="dxa"/>
            <w:tcBorders>
              <w:top w:val="single" w:sz="4" w:space="0" w:color="000000"/>
              <w:left w:val="single" w:sz="4" w:space="0" w:color="000000"/>
              <w:bottom w:val="single" w:sz="4" w:space="0" w:color="000000"/>
              <w:right w:val="single" w:sz="4" w:space="0" w:color="000000"/>
            </w:tcBorders>
            <w:vAlign w:val="center"/>
          </w:tcPr>
          <w:p w:rsidR="001F2602" w:rsidRDefault="001F2602" w:rsidP="001F2602">
            <w:pPr>
              <w:jc w:val="right"/>
              <w:rPr>
                <w:b/>
                <w:sz w:val="22"/>
                <w:szCs w:val="22"/>
              </w:rPr>
            </w:pPr>
            <w:r>
              <w:rPr>
                <w:b/>
                <w:sz w:val="22"/>
                <w:szCs w:val="22"/>
              </w:rPr>
              <w:t>6.385</w:t>
            </w:r>
          </w:p>
        </w:tc>
      </w:tr>
      <w:tr w:rsidR="001F2602" w:rsidTr="001F2602">
        <w:trPr>
          <w:trHeight w:val="719"/>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Δαπάνες για αγορές Φαρμάκων</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sz w:val="22"/>
                <w:szCs w:val="22"/>
              </w:rPr>
            </w:pPr>
            <w:r>
              <w:rPr>
                <w:sz w:val="22"/>
                <w:szCs w:val="22"/>
              </w:rPr>
              <w:t>ΕΥΡΩ</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Pr="00641DE4" w:rsidRDefault="001F2602">
            <w:pPr>
              <w:jc w:val="right"/>
              <w:rPr>
                <w:b/>
                <w:sz w:val="22"/>
                <w:szCs w:val="22"/>
              </w:rPr>
            </w:pPr>
            <w:r w:rsidRPr="00641DE4">
              <w:rPr>
                <w:b/>
                <w:sz w:val="22"/>
                <w:szCs w:val="22"/>
              </w:rPr>
              <w:t>103.088.802</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rPr>
            </w:pPr>
            <w:r>
              <w:rPr>
                <w:b/>
                <w:sz w:val="22"/>
                <w:szCs w:val="22"/>
              </w:rPr>
              <w:t>109.353.421</w:t>
            </w:r>
          </w:p>
        </w:tc>
        <w:tc>
          <w:tcPr>
            <w:tcW w:w="1557" w:type="dxa"/>
            <w:tcBorders>
              <w:top w:val="single" w:sz="4" w:space="0" w:color="000000"/>
              <w:left w:val="single" w:sz="4" w:space="0" w:color="000000"/>
              <w:bottom w:val="single" w:sz="4" w:space="0" w:color="000000"/>
              <w:right w:val="single" w:sz="4" w:space="0" w:color="000000"/>
            </w:tcBorders>
            <w:vAlign w:val="center"/>
          </w:tcPr>
          <w:p w:rsidR="001F2602" w:rsidRDefault="001F2602" w:rsidP="001F2602">
            <w:pPr>
              <w:jc w:val="right"/>
              <w:rPr>
                <w:b/>
                <w:sz w:val="22"/>
                <w:szCs w:val="22"/>
              </w:rPr>
            </w:pPr>
            <w:r>
              <w:rPr>
                <w:b/>
                <w:sz w:val="22"/>
                <w:szCs w:val="22"/>
              </w:rPr>
              <w:t>104.202.415</w:t>
            </w:r>
          </w:p>
        </w:tc>
      </w:tr>
      <w:tr w:rsidR="001F2602" w:rsidTr="001F2602">
        <w:trPr>
          <w:trHeight w:val="710"/>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Δαπάνες για αγορές Αναλωσίμων</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sz w:val="22"/>
                <w:szCs w:val="22"/>
              </w:rPr>
            </w:pPr>
            <w:r>
              <w:rPr>
                <w:sz w:val="22"/>
                <w:szCs w:val="22"/>
              </w:rPr>
              <w:t>ΕΥΡΩ</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lang w:val="en-US"/>
              </w:rPr>
            </w:pPr>
            <w:r>
              <w:rPr>
                <w:b/>
                <w:sz w:val="22"/>
                <w:szCs w:val="22"/>
                <w:lang w:val="en-US"/>
              </w:rPr>
              <w:t>7.526.447</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rPr>
            </w:pPr>
            <w:r>
              <w:rPr>
                <w:b/>
                <w:sz w:val="22"/>
                <w:szCs w:val="22"/>
              </w:rPr>
              <w:t>7.508.412</w:t>
            </w:r>
          </w:p>
        </w:tc>
        <w:tc>
          <w:tcPr>
            <w:tcW w:w="1557" w:type="dxa"/>
            <w:tcBorders>
              <w:top w:val="single" w:sz="4" w:space="0" w:color="000000"/>
              <w:left w:val="single" w:sz="4" w:space="0" w:color="000000"/>
              <w:bottom w:val="single" w:sz="4" w:space="0" w:color="000000"/>
              <w:right w:val="single" w:sz="4" w:space="0" w:color="000000"/>
            </w:tcBorders>
            <w:vAlign w:val="center"/>
          </w:tcPr>
          <w:p w:rsidR="001F2602" w:rsidRDefault="001F2602" w:rsidP="001F2602">
            <w:pPr>
              <w:jc w:val="right"/>
              <w:rPr>
                <w:b/>
                <w:sz w:val="22"/>
                <w:szCs w:val="22"/>
              </w:rPr>
            </w:pPr>
            <w:r>
              <w:rPr>
                <w:b/>
                <w:sz w:val="22"/>
                <w:szCs w:val="22"/>
              </w:rPr>
              <w:t>7.763.398</w:t>
            </w:r>
          </w:p>
        </w:tc>
      </w:tr>
      <w:tr w:rsidR="001F2602" w:rsidTr="001F2602">
        <w:trPr>
          <w:trHeight w:val="890"/>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Εκδόσεις</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sz w:val="22"/>
                <w:szCs w:val="22"/>
              </w:rPr>
            </w:pPr>
            <w:r>
              <w:rPr>
                <w:sz w:val="22"/>
                <w:szCs w:val="22"/>
              </w:rPr>
              <w:t>Αρ. εκτελεσθέντων διατακτικών</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lang w:val="en-US"/>
              </w:rPr>
            </w:pPr>
            <w:r>
              <w:rPr>
                <w:b/>
                <w:sz w:val="22"/>
                <w:szCs w:val="22"/>
                <w:lang w:val="en-US"/>
              </w:rPr>
              <w:t>8.103</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right"/>
              <w:rPr>
                <w:b/>
                <w:sz w:val="22"/>
                <w:szCs w:val="22"/>
              </w:rPr>
            </w:pPr>
            <w:r>
              <w:rPr>
                <w:b/>
                <w:sz w:val="22"/>
                <w:szCs w:val="22"/>
              </w:rPr>
              <w:t>7.590</w:t>
            </w:r>
          </w:p>
        </w:tc>
        <w:tc>
          <w:tcPr>
            <w:tcW w:w="1557" w:type="dxa"/>
            <w:tcBorders>
              <w:top w:val="single" w:sz="4" w:space="0" w:color="000000"/>
              <w:left w:val="single" w:sz="4" w:space="0" w:color="000000"/>
              <w:bottom w:val="single" w:sz="4" w:space="0" w:color="000000"/>
              <w:right w:val="single" w:sz="4" w:space="0" w:color="000000"/>
            </w:tcBorders>
            <w:vAlign w:val="center"/>
          </w:tcPr>
          <w:p w:rsidR="001F2602" w:rsidRDefault="001F2602" w:rsidP="001F2602">
            <w:pPr>
              <w:jc w:val="right"/>
              <w:rPr>
                <w:b/>
                <w:sz w:val="22"/>
                <w:szCs w:val="22"/>
              </w:rPr>
            </w:pPr>
            <w:r>
              <w:rPr>
                <w:b/>
                <w:sz w:val="22"/>
                <w:szCs w:val="22"/>
              </w:rPr>
              <w:t>7.426</w:t>
            </w:r>
          </w:p>
        </w:tc>
      </w:tr>
      <w:tr w:rsidR="001F2602" w:rsidTr="001F2602">
        <w:trPr>
          <w:trHeight w:val="971"/>
          <w:jc w:val="center"/>
        </w:trPr>
        <w:tc>
          <w:tcPr>
            <w:tcW w:w="212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1F2602" w:rsidRDefault="001F2602">
            <w:pPr>
              <w:jc w:val="center"/>
              <w:rPr>
                <w:b/>
                <w:sz w:val="22"/>
                <w:szCs w:val="22"/>
              </w:rPr>
            </w:pPr>
            <w:r>
              <w:rPr>
                <w:b/>
                <w:sz w:val="22"/>
                <w:szCs w:val="22"/>
              </w:rPr>
              <w:t>Μηχανογράφηση φαρμάκων και ιατρικών αναλωσίμων</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sz w:val="22"/>
                <w:szCs w:val="22"/>
              </w:rPr>
            </w:pPr>
            <w:r>
              <w:rPr>
                <w:sz w:val="22"/>
                <w:szCs w:val="22"/>
              </w:rPr>
              <w:t>Αρ. νέων ειδών</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b/>
                <w:sz w:val="22"/>
                <w:szCs w:val="22"/>
              </w:rPr>
            </w:pPr>
            <w:r>
              <w:rPr>
                <w:b/>
                <w:sz w:val="22"/>
                <w:szCs w:val="22"/>
                <w:lang w:val="en-US"/>
              </w:rPr>
              <w:t>95</w:t>
            </w:r>
            <w:r>
              <w:rPr>
                <w:b/>
                <w:sz w:val="22"/>
                <w:szCs w:val="22"/>
              </w:rPr>
              <w:t xml:space="preserve"> Φάρμακα και </w:t>
            </w:r>
            <w:r>
              <w:rPr>
                <w:b/>
                <w:sz w:val="22"/>
                <w:szCs w:val="22"/>
                <w:lang w:val="en-US"/>
              </w:rPr>
              <w:t>108</w:t>
            </w:r>
            <w:r>
              <w:rPr>
                <w:b/>
                <w:sz w:val="22"/>
                <w:szCs w:val="22"/>
              </w:rPr>
              <w:t xml:space="preserve"> αναλώσιμα</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1F2602" w:rsidRDefault="001F2602">
            <w:pPr>
              <w:jc w:val="center"/>
              <w:rPr>
                <w:b/>
                <w:sz w:val="22"/>
                <w:szCs w:val="22"/>
              </w:rPr>
            </w:pPr>
            <w:r>
              <w:rPr>
                <w:b/>
                <w:sz w:val="22"/>
                <w:szCs w:val="22"/>
              </w:rPr>
              <w:t>81 Φάρμακα και 98 αναλώσιμα</w:t>
            </w:r>
          </w:p>
        </w:tc>
        <w:tc>
          <w:tcPr>
            <w:tcW w:w="1557" w:type="dxa"/>
            <w:tcBorders>
              <w:top w:val="single" w:sz="4" w:space="0" w:color="000000"/>
              <w:left w:val="single" w:sz="4" w:space="0" w:color="000000"/>
              <w:bottom w:val="single" w:sz="4" w:space="0" w:color="000000"/>
              <w:right w:val="single" w:sz="4" w:space="0" w:color="000000"/>
            </w:tcBorders>
            <w:vAlign w:val="center"/>
          </w:tcPr>
          <w:p w:rsidR="001F2602" w:rsidRDefault="001F2602" w:rsidP="001F2602">
            <w:pPr>
              <w:jc w:val="center"/>
              <w:rPr>
                <w:b/>
                <w:sz w:val="22"/>
                <w:szCs w:val="22"/>
              </w:rPr>
            </w:pPr>
            <w:r>
              <w:rPr>
                <w:b/>
                <w:sz w:val="22"/>
                <w:szCs w:val="22"/>
              </w:rPr>
              <w:t>80 Φάρμακα και 96 αναλώσιμα</w:t>
            </w:r>
          </w:p>
        </w:tc>
      </w:tr>
    </w:tbl>
    <w:p w:rsidR="00641DE4" w:rsidRPr="007169D1" w:rsidRDefault="00641DE4" w:rsidP="007169D1">
      <w:pPr>
        <w:rPr>
          <w:lang w:eastAsia="en-US"/>
        </w:rPr>
      </w:pPr>
    </w:p>
    <w:p w:rsidR="00641DE4" w:rsidRDefault="00641DE4" w:rsidP="00641DE4">
      <w:pPr>
        <w:pStyle w:val="Caption"/>
        <w:keepNext/>
        <w:jc w:val="both"/>
        <w:rPr>
          <w:sz w:val="24"/>
          <w:lang w:val="el-GR"/>
        </w:rPr>
      </w:pPr>
      <w:r w:rsidRPr="00641DE4">
        <w:rPr>
          <w:sz w:val="24"/>
          <w:lang w:val="el-GR"/>
        </w:rPr>
        <w:t xml:space="preserve">Διάγραμμα </w:t>
      </w:r>
      <w:r w:rsidR="00774D0A">
        <w:rPr>
          <w:sz w:val="24"/>
        </w:rPr>
        <w:fldChar w:fldCharType="begin"/>
      </w:r>
      <w:r w:rsidRPr="00641DE4">
        <w:rPr>
          <w:sz w:val="24"/>
          <w:lang w:val="el-GR"/>
        </w:rPr>
        <w:instrText xml:space="preserve"> </w:instrText>
      </w:r>
      <w:r>
        <w:rPr>
          <w:sz w:val="24"/>
        </w:rPr>
        <w:instrText>SEQ</w:instrText>
      </w:r>
      <w:r w:rsidRPr="00641DE4">
        <w:rPr>
          <w:sz w:val="24"/>
          <w:lang w:val="el-GR"/>
        </w:rPr>
        <w:instrText xml:space="preserve"> Διάγραμμα \* </w:instrText>
      </w:r>
      <w:r>
        <w:rPr>
          <w:sz w:val="24"/>
        </w:rPr>
        <w:instrText>ARABIC</w:instrText>
      </w:r>
      <w:r w:rsidRPr="00641DE4">
        <w:rPr>
          <w:sz w:val="24"/>
          <w:lang w:val="el-GR"/>
        </w:rPr>
        <w:instrText xml:space="preserve"> </w:instrText>
      </w:r>
      <w:r w:rsidR="00774D0A">
        <w:rPr>
          <w:sz w:val="24"/>
        </w:rPr>
        <w:fldChar w:fldCharType="separate"/>
      </w:r>
      <w:r w:rsidR="00C17044" w:rsidRPr="00C17044">
        <w:rPr>
          <w:noProof/>
          <w:sz w:val="24"/>
          <w:lang w:val="el-GR"/>
        </w:rPr>
        <w:t>1</w:t>
      </w:r>
      <w:r w:rsidR="00774D0A">
        <w:rPr>
          <w:sz w:val="24"/>
        </w:rPr>
        <w:fldChar w:fldCharType="end"/>
      </w:r>
      <w:r>
        <w:rPr>
          <w:sz w:val="24"/>
          <w:lang w:val="el-GR"/>
        </w:rPr>
        <w:t>.2.1.β</w:t>
      </w:r>
      <w:r w:rsidRPr="00641DE4">
        <w:rPr>
          <w:sz w:val="24"/>
          <w:lang w:val="el-GR"/>
        </w:rPr>
        <w:t>:</w:t>
      </w:r>
      <w:r w:rsidRPr="00641DE4">
        <w:rPr>
          <w:b w:val="0"/>
          <w:bCs w:val="0"/>
          <w:sz w:val="24"/>
          <w:lang w:val="el-GR" w:eastAsia="el-GR"/>
        </w:rPr>
        <w:t xml:space="preserve"> </w:t>
      </w:r>
      <w:r w:rsidRPr="00641DE4">
        <w:rPr>
          <w:sz w:val="24"/>
          <w:lang w:val="el-GR"/>
        </w:rPr>
        <w:t>Αριθμός Διαγωνισμών για Φάρμακα και Ιατρικά Αναλώσιμα</w:t>
      </w:r>
    </w:p>
    <w:p w:rsidR="00641DE4" w:rsidRDefault="00641DE4" w:rsidP="00641DE4">
      <w:pPr>
        <w:keepNext/>
        <w:jc w:val="center"/>
      </w:pPr>
      <w:r>
        <w:rPr>
          <w:noProof/>
          <w:lang w:val="en-US" w:eastAsia="en-US"/>
        </w:rPr>
        <w:drawing>
          <wp:inline distT="0" distB="0" distL="0" distR="0">
            <wp:extent cx="5799438" cy="2726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1DE4" w:rsidRPr="00D706E2" w:rsidRDefault="00641DE4" w:rsidP="00641DE4">
      <w:pPr>
        <w:rPr>
          <w:lang w:val="en-US"/>
        </w:rPr>
      </w:pPr>
    </w:p>
    <w:p w:rsidR="00C64551" w:rsidRDefault="00C64551" w:rsidP="003C02BD">
      <w:pPr>
        <w:pStyle w:val="Heading3"/>
      </w:pPr>
      <w:bookmarkStart w:id="31" w:name="_Toc383086785"/>
      <w:r>
        <w:lastRenderedPageBreak/>
        <w:t>Τομέας Φαρμακορρύθμισης (Αξιολόγησης και Εγγραφής των Φαρμάκων)</w:t>
      </w:r>
      <w:bookmarkEnd w:id="31"/>
    </w:p>
    <w:p w:rsidR="00641DE4" w:rsidRDefault="00641DE4" w:rsidP="00CE4845">
      <w:pPr>
        <w:pStyle w:val="Heading4"/>
      </w:pPr>
      <w:bookmarkStart w:id="32" w:name="_Toc383086786"/>
      <w:r>
        <w:t>Γενικά</w:t>
      </w:r>
      <w:bookmarkEnd w:id="32"/>
    </w:p>
    <w:p w:rsidR="00641DE4" w:rsidRDefault="00641DE4" w:rsidP="00641DE4">
      <w:pPr>
        <w:spacing w:before="100" w:beforeAutospacing="1"/>
      </w:pPr>
      <w:r>
        <w:t>Η νομοθεσία που ρυθμίζει την κυκλοφορία φαρμακευτικών προϊόντων που εισάγονται ή που παρασκευάζονται επιτόπια στην Κύπρο, είναι ο περί Φαρμάκων Ανθρώπινης Χρήσης (Έλεγχος Ποιότητας, Προμήθειας και Τιμών) Νόμος του 2001 και οι Κανονισμοί που θεσπίστηκαν με βάση τους Νόμους αυτούς. Οι κύριες δραστηριότητες του Τομέα Φαρμακορρύθμισης επικεντρώνονται στις πιο κάτω:</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Έκδοση/Ανανέωση/Τροποποίηση Αδειών Κυκλοφορίας Φαρμακευτικών Προϊόντων</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 xml:space="preserve">Έκδοση Αδειών Παρασκευής/ Χονδρικής Πώλησης και Εισαγωγής από Τρίτες Χώρες </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Επιθεωρήσεις για τήρηση των Κανόνων Ορθής Παρασκευαστικής Πρακτικής (Κ.Ο.Π.Π.), διερευνήσεις, ανακλήσεις φαρμάκων από την αγορά και άλλες σχετικές εργασίες.</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 xml:space="preserve">Δειγματοληψίες για έλεγχο της ποιότητας των φαρμάκων (εργαστηριακός έλεγχος και έλεγχος σήμανσης) </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Εξετάσεις για άδεια χονδρικής πώλησης και εγγραφές ειδικευμένων προσώπων</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Παρακολούθηση της ασφάλειας των φαρμάκων που κυκλοφορούν (Φαρμακοεπαγρύπνηση)</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Συμμετοχή σε Επιτροπές στην Κύπρο, στην Ευρωπαϊκή Ένωση και στο εξωτερικό.</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 xml:space="preserve">Έλεγχος πιστοποιητικών </w:t>
      </w:r>
      <w:r>
        <w:rPr>
          <w:lang w:val="en-US"/>
        </w:rPr>
        <w:t>OCABR</w:t>
      </w:r>
      <w:r w:rsidRPr="00641DE4">
        <w:rPr>
          <w:lang w:val="el-GR"/>
        </w:rPr>
        <w:t xml:space="preserve"> ( </w:t>
      </w:r>
      <w:r>
        <w:rPr>
          <w:lang w:val="en-US"/>
        </w:rPr>
        <w:t>Official</w:t>
      </w:r>
      <w:r w:rsidRPr="00641DE4">
        <w:rPr>
          <w:lang w:val="el-GR"/>
        </w:rPr>
        <w:t xml:space="preserve"> </w:t>
      </w:r>
      <w:r>
        <w:rPr>
          <w:lang w:val="en-US"/>
        </w:rPr>
        <w:t>Control</w:t>
      </w:r>
      <w:r w:rsidRPr="00641DE4">
        <w:rPr>
          <w:lang w:val="el-GR"/>
        </w:rPr>
        <w:t xml:space="preserve"> </w:t>
      </w:r>
      <w:r>
        <w:rPr>
          <w:lang w:val="en-US"/>
        </w:rPr>
        <w:t>Authority</w:t>
      </w:r>
      <w:r w:rsidRPr="00641DE4">
        <w:rPr>
          <w:lang w:val="el-GR"/>
        </w:rPr>
        <w:t xml:space="preserve"> </w:t>
      </w:r>
      <w:r>
        <w:rPr>
          <w:lang w:val="en-US"/>
        </w:rPr>
        <w:t>Batch</w:t>
      </w:r>
      <w:r w:rsidRPr="00641DE4">
        <w:rPr>
          <w:lang w:val="el-GR"/>
        </w:rPr>
        <w:t xml:space="preserve"> </w:t>
      </w:r>
      <w:r>
        <w:rPr>
          <w:lang w:val="en-US"/>
        </w:rPr>
        <w:t>Release</w:t>
      </w:r>
      <w:r w:rsidRPr="00641DE4">
        <w:rPr>
          <w:lang w:val="el-GR"/>
        </w:rPr>
        <w:t xml:space="preserve">) και πιστοποιητικών απελευθέρωσης παρτίδων για προϊόντα με βάση το αίμα ή το πλάσμα αίματος και </w:t>
      </w:r>
      <w:r>
        <w:t> </w:t>
      </w:r>
      <w:r w:rsidRPr="00641DE4">
        <w:rPr>
          <w:lang w:val="el-GR"/>
        </w:rPr>
        <w:t>ανοσολογικά φαρμακευτικά προϊόντα</w:t>
      </w:r>
      <w:r w:rsidRPr="00641DE4">
        <w:rPr>
          <w:rFonts w:ascii="Calibri" w:hAnsi="Calibri"/>
          <w:sz w:val="22"/>
          <w:szCs w:val="22"/>
          <w:lang w:val="el-GR"/>
        </w:rPr>
        <w:t>.</w:t>
      </w:r>
    </w:p>
    <w:p w:rsidR="00641DE4" w:rsidRPr="00641DE4" w:rsidRDefault="00641DE4" w:rsidP="00641DE4">
      <w:pPr>
        <w:pStyle w:val="ListParagraph"/>
        <w:numPr>
          <w:ilvl w:val="0"/>
          <w:numId w:val="15"/>
        </w:numPr>
        <w:spacing w:before="100" w:beforeAutospacing="1" w:after="120" w:line="276" w:lineRule="auto"/>
        <w:ind w:left="714" w:hanging="357"/>
        <w:jc w:val="both"/>
        <w:rPr>
          <w:lang w:val="el-GR"/>
        </w:rPr>
      </w:pPr>
      <w:r w:rsidRPr="00641DE4">
        <w:rPr>
          <w:lang w:val="el-GR"/>
        </w:rPr>
        <w:t>Τήρηση ηλεκτρονικής βάσης δεδομένων για τα φάρμακα και άλλων μητρώων που απαιτεί η νομοθεσία.</w:t>
      </w:r>
    </w:p>
    <w:p w:rsidR="00641DE4" w:rsidRPr="00641DE4" w:rsidRDefault="00641DE4" w:rsidP="00641DE4">
      <w:pPr>
        <w:pStyle w:val="ListParagraph"/>
        <w:numPr>
          <w:ilvl w:val="0"/>
          <w:numId w:val="15"/>
        </w:numPr>
        <w:spacing w:before="100" w:beforeAutospacing="1" w:after="120" w:line="276" w:lineRule="auto"/>
        <w:jc w:val="both"/>
        <w:rPr>
          <w:lang w:val="el-GR"/>
        </w:rPr>
      </w:pPr>
      <w:r w:rsidRPr="00641DE4">
        <w:rPr>
          <w:lang w:val="el-GR"/>
        </w:rPr>
        <w:t>Εκδόσεις πιστοποιητικών για φάρμακα, για την τήρηση των ΚΟΠΠ και άλλα πιστοποιητικά.</w:t>
      </w:r>
    </w:p>
    <w:p w:rsidR="00641DE4" w:rsidRDefault="00641DE4" w:rsidP="00641DE4">
      <w:pPr>
        <w:pStyle w:val="ListParagraph"/>
        <w:numPr>
          <w:ilvl w:val="0"/>
          <w:numId w:val="15"/>
        </w:numPr>
        <w:spacing w:before="100" w:beforeAutospacing="1" w:after="120" w:line="276" w:lineRule="auto"/>
        <w:jc w:val="both"/>
      </w:pPr>
      <w:r>
        <w:t>Εναρμόνιση με το Κοινοτικό Κεκτημένο</w:t>
      </w:r>
    </w:p>
    <w:p w:rsidR="00641DE4" w:rsidRDefault="00641DE4" w:rsidP="00641DE4">
      <w:pPr>
        <w:pStyle w:val="ListParagraph"/>
        <w:numPr>
          <w:ilvl w:val="0"/>
          <w:numId w:val="15"/>
        </w:numPr>
        <w:spacing w:before="100" w:beforeAutospacing="1" w:after="120" w:line="276" w:lineRule="auto"/>
        <w:jc w:val="both"/>
      </w:pPr>
      <w:r>
        <w:t>Έλεγχος Κλινικών Δοκιμών.</w:t>
      </w:r>
    </w:p>
    <w:p w:rsidR="00641DE4" w:rsidRDefault="00641DE4" w:rsidP="00641DE4">
      <w:pPr>
        <w:pStyle w:val="ListParagraph"/>
        <w:numPr>
          <w:ilvl w:val="0"/>
          <w:numId w:val="15"/>
        </w:numPr>
        <w:spacing w:before="100" w:beforeAutospacing="1" w:after="120" w:line="276" w:lineRule="auto"/>
        <w:jc w:val="both"/>
      </w:pPr>
      <w:r>
        <w:t>Τήρηση Συστήματος Ποιότητας.</w:t>
      </w:r>
    </w:p>
    <w:p w:rsidR="00641DE4" w:rsidRDefault="00641DE4" w:rsidP="00641DE4">
      <w:pPr>
        <w:pStyle w:val="ListParagraph"/>
        <w:spacing w:before="100" w:beforeAutospacing="1"/>
      </w:pPr>
    </w:p>
    <w:p w:rsidR="00641DE4" w:rsidRDefault="00641DE4" w:rsidP="00CE4845">
      <w:pPr>
        <w:pStyle w:val="Heading4"/>
      </w:pPr>
      <w:bookmarkStart w:id="33" w:name="_Toc383086787"/>
      <w:r>
        <w:t>Σύνοψη Διεργασιών 2012</w:t>
      </w:r>
      <w:bookmarkEnd w:id="33"/>
    </w:p>
    <w:p w:rsidR="00641DE4" w:rsidRPr="00641DE4" w:rsidRDefault="00641DE4" w:rsidP="00885D81">
      <w:pPr>
        <w:pStyle w:val="ListParagraph"/>
        <w:numPr>
          <w:ilvl w:val="0"/>
          <w:numId w:val="26"/>
        </w:numPr>
        <w:spacing w:before="240" w:after="120"/>
        <w:jc w:val="both"/>
        <w:rPr>
          <w:szCs w:val="22"/>
          <w:lang w:val="el-GR"/>
        </w:rPr>
      </w:pPr>
      <w:r w:rsidRPr="00641DE4">
        <w:rPr>
          <w:szCs w:val="22"/>
          <w:lang w:val="el-GR"/>
        </w:rPr>
        <w:t>Κυπριακή Προεδρία του Συμβουλίου της Ευρωπαϊκής Ένωσης</w:t>
      </w:r>
    </w:p>
    <w:p w:rsidR="00641DE4" w:rsidRPr="00641DE4" w:rsidRDefault="00641DE4" w:rsidP="00641DE4">
      <w:pPr>
        <w:pStyle w:val="ListParagraph"/>
        <w:numPr>
          <w:ilvl w:val="1"/>
          <w:numId w:val="26"/>
        </w:numPr>
        <w:spacing w:after="120"/>
        <w:jc w:val="both"/>
        <w:rPr>
          <w:szCs w:val="22"/>
          <w:lang w:val="el-GR"/>
        </w:rPr>
      </w:pPr>
      <w:r w:rsidRPr="00641DE4">
        <w:rPr>
          <w:szCs w:val="22"/>
          <w:lang w:val="el-GR"/>
        </w:rPr>
        <w:t>Προεδρία των Ομάδων Εργασίας του Συμβουλίου Φαρμακευτικών Προϊόντων (Πρόταση Κανονισμού για τις Κλινικές Δοκιμές και Πρόταση Οδηγίας για την Τιμολόγηση και Αποζημίωση)</w:t>
      </w:r>
    </w:p>
    <w:p w:rsidR="00641DE4" w:rsidRDefault="00641DE4" w:rsidP="00641DE4">
      <w:pPr>
        <w:pStyle w:val="ListParagraph"/>
        <w:numPr>
          <w:ilvl w:val="1"/>
          <w:numId w:val="26"/>
        </w:numPr>
        <w:spacing w:after="120"/>
        <w:ind w:left="1434" w:hanging="357"/>
        <w:jc w:val="both"/>
      </w:pPr>
      <w:r>
        <w:t>Διοργάνωση 7 συναντήσεων στην Κύπρο</w:t>
      </w:r>
    </w:p>
    <w:p w:rsidR="00641DE4" w:rsidRPr="00641DE4" w:rsidRDefault="00641DE4" w:rsidP="00641DE4">
      <w:pPr>
        <w:pStyle w:val="ListParagraph"/>
        <w:numPr>
          <w:ilvl w:val="0"/>
          <w:numId w:val="26"/>
        </w:numPr>
        <w:spacing w:after="120"/>
        <w:jc w:val="both"/>
        <w:rPr>
          <w:lang w:val="el-GR"/>
        </w:rPr>
      </w:pPr>
      <w:r w:rsidRPr="00641DE4">
        <w:rPr>
          <w:lang w:val="el-GR"/>
        </w:rPr>
        <w:t xml:space="preserve">Εισαγωγή νομοθεσίας που τροποποιεί τον περί Φαρμάκων Ανθρώπινης Χρήσης (Έλεγχος Ποιότητας Προμήθειας και Τιμών) (Τροποποιητικός) (Αρ. 2) Νόμος 209(Ι) του 2012 για σκοπούς εναρμόνισης με την πράξη της Ευρωπαϊκής Ένωσης με τίτλο: </w:t>
      </w:r>
    </w:p>
    <w:p w:rsidR="00641DE4" w:rsidRDefault="00641DE4" w:rsidP="00641DE4">
      <w:pPr>
        <w:ind w:left="1134" w:right="425" w:hanging="141"/>
        <w:rPr>
          <w:i/>
        </w:rPr>
      </w:pPr>
      <w:r>
        <w:rPr>
          <w:i/>
        </w:rPr>
        <w:t xml:space="preserve">«Οδηγία 2011/62/ΕΕ του Ευρωπαϊκού Κοινοβουλίου και του Συμβουλίου, της 8ης Ιουνίου 2011, για την τροποποίηση της Οδηγίας 2001/83/ΕΚ περί κοινοτικού κώδικος για τα φάρμακα που προορίζονται για ανθρώπινη χρήση, </w:t>
      </w:r>
      <w:r>
        <w:rPr>
          <w:i/>
        </w:rPr>
        <w:lastRenderedPageBreak/>
        <w:t xml:space="preserve">όσον αφορά την πρόληψη της εισόδου ψευδεπίγραφων φαρμάκων στη νόμιμη αλυσίδα εφοδιασμού» </w:t>
      </w:r>
    </w:p>
    <w:p w:rsidR="00641DE4" w:rsidRPr="00641DE4" w:rsidRDefault="00641DE4" w:rsidP="00641DE4">
      <w:pPr>
        <w:pStyle w:val="ListParagraph"/>
        <w:numPr>
          <w:ilvl w:val="0"/>
          <w:numId w:val="26"/>
        </w:numPr>
        <w:spacing w:after="120"/>
        <w:jc w:val="both"/>
        <w:rPr>
          <w:lang w:val="el-GR"/>
        </w:rPr>
      </w:pPr>
      <w:r w:rsidRPr="00641DE4">
        <w:rPr>
          <w:lang w:val="el-GR"/>
        </w:rPr>
        <w:t xml:space="preserve">Εισαγωγή νομοθεσίας που τροποποιεί τον περί Φαρμάκων Ανθρώπινης Χρήσης (Έλεγχος Ποιότητας Προμήθειας και Τιμών) (Τροποποιητικός) Νόμος 63(Ι) του 2012 για σκοπούς εναρμόνισης με την πράξη της Ευρωπαϊκής Ένωσης με τίτλο: </w:t>
      </w:r>
    </w:p>
    <w:p w:rsidR="00641DE4" w:rsidRDefault="00641DE4" w:rsidP="00641DE4">
      <w:pPr>
        <w:ind w:left="1134" w:right="425" w:hanging="141"/>
        <w:rPr>
          <w:i/>
        </w:rPr>
      </w:pPr>
      <w:r>
        <w:rPr>
          <w:i/>
        </w:rPr>
        <w:t>«Οδηγία 2010/84/ΕΕ του Ευρωπαϊκού Κοινοβουλίου και του Συμβουλίου, της 15</w:t>
      </w:r>
      <w:r>
        <w:rPr>
          <w:i/>
          <w:vertAlign w:val="superscript"/>
        </w:rPr>
        <w:t>ης</w:t>
      </w:r>
      <w:r>
        <w:rPr>
          <w:i/>
        </w:rPr>
        <w:t xml:space="preserve"> Δεκεμβρίου 2010, για την τροποποίηση, όσον αφορά τη φαρμακοεπαγρύπνηση, της οδηγίας 2001/83/ΕΚ περί κοινοτικού κώδικος για τα φάρμακα που προορίζονται για ανθρώπινη χρήση» </w:t>
      </w:r>
    </w:p>
    <w:p w:rsidR="00641DE4" w:rsidRPr="00AF2986" w:rsidRDefault="00641DE4" w:rsidP="00AF2986">
      <w:pPr>
        <w:pStyle w:val="ListParagraph"/>
        <w:numPr>
          <w:ilvl w:val="0"/>
          <w:numId w:val="26"/>
        </w:numPr>
        <w:spacing w:after="120"/>
        <w:jc w:val="both"/>
        <w:rPr>
          <w:lang w:val="el-GR"/>
        </w:rPr>
      </w:pPr>
      <w:r w:rsidRPr="00641DE4">
        <w:rPr>
          <w:lang w:val="el-GR"/>
        </w:rPr>
        <w:t xml:space="preserve">Διεθνής και Ευρωπαϊκή Διαπίστευση του Τομέα Φαρμακορρύθμισης </w:t>
      </w:r>
      <w:r>
        <w:rPr>
          <w:lang w:val="en-US"/>
        </w:rPr>
        <w:t>ISO</w:t>
      </w:r>
      <w:r w:rsidRPr="00641DE4">
        <w:rPr>
          <w:lang w:val="el-GR"/>
        </w:rPr>
        <w:t xml:space="preserve"> 9001:2008</w:t>
      </w:r>
    </w:p>
    <w:p w:rsidR="00641DE4" w:rsidRPr="00641DE4" w:rsidRDefault="00641DE4" w:rsidP="00641DE4">
      <w:pPr>
        <w:pStyle w:val="ListParagraph"/>
        <w:numPr>
          <w:ilvl w:val="0"/>
          <w:numId w:val="26"/>
        </w:numPr>
        <w:spacing w:after="120"/>
        <w:jc w:val="both"/>
        <w:rPr>
          <w:lang w:val="el-GR"/>
        </w:rPr>
      </w:pPr>
      <w:r w:rsidRPr="00641DE4">
        <w:rPr>
          <w:lang w:val="el-GR"/>
        </w:rPr>
        <w:t xml:space="preserve">Συμμετοχή στην Επιχείρηση </w:t>
      </w:r>
      <w:r>
        <w:t>Pangea</w:t>
      </w:r>
      <w:r w:rsidRPr="00641DE4">
        <w:rPr>
          <w:lang w:val="el-GR"/>
        </w:rPr>
        <w:t xml:space="preserve"> </w:t>
      </w:r>
      <w:r>
        <w:rPr>
          <w:lang w:val="en-US"/>
        </w:rPr>
        <w:t>V</w:t>
      </w:r>
      <w:r w:rsidRPr="00641DE4">
        <w:rPr>
          <w:lang w:val="el-GR"/>
        </w:rPr>
        <w:t xml:space="preserve"> (διεθνής εβδομάδα δράσης για την αντιμετώπιση της διαδικτυακής πώλησης πλαστών και παράνομων φαρμάκων)</w:t>
      </w:r>
    </w:p>
    <w:p w:rsidR="00641DE4" w:rsidRPr="00641DE4" w:rsidRDefault="00641DE4" w:rsidP="00641DE4">
      <w:pPr>
        <w:pStyle w:val="ListParagraph"/>
        <w:rPr>
          <w:sz w:val="22"/>
          <w:szCs w:val="22"/>
          <w:lang w:val="el-GR"/>
        </w:rPr>
      </w:pPr>
    </w:p>
    <w:p w:rsidR="00641DE4" w:rsidRDefault="00641DE4" w:rsidP="00CE4845">
      <w:pPr>
        <w:pStyle w:val="Heading4"/>
      </w:pPr>
      <w:bookmarkStart w:id="34" w:name="_Toc383086788"/>
      <w:r>
        <w:t>Κυπριακή Προεδρία του Συμβουλίου της Ευρωπαϊκής Ένωσης</w:t>
      </w:r>
      <w:bookmarkEnd w:id="34"/>
    </w:p>
    <w:p w:rsidR="00641DE4" w:rsidRDefault="00641DE4" w:rsidP="002D183B">
      <w:pPr>
        <w:pStyle w:val="Heading5"/>
        <w:numPr>
          <w:ilvl w:val="4"/>
          <w:numId w:val="24"/>
        </w:numPr>
      </w:pPr>
      <w:r>
        <w:rPr>
          <w:sz w:val="24"/>
        </w:rPr>
        <w:t>Προεδρία των Ομάδων Εργασίας του Συμβουλίου Φαρμακευτικών Προϊόντων</w:t>
      </w:r>
    </w:p>
    <w:p w:rsidR="00641DE4" w:rsidRPr="00885D81" w:rsidRDefault="00641DE4" w:rsidP="00885D81">
      <w:pPr>
        <w:spacing w:before="240"/>
        <w:rPr>
          <w:i/>
        </w:rPr>
      </w:pPr>
      <w:r>
        <w:rPr>
          <w:bCs/>
        </w:rPr>
        <w:t xml:space="preserve">Λειτουργοί των Φαρμακευτικών Υπηρεσιών </w:t>
      </w:r>
      <w:r>
        <w:rPr>
          <w:bCs/>
          <w:iCs/>
        </w:rPr>
        <w:t xml:space="preserve">προέδρευσαν των εννέα συναντήσεων της Ομάδας </w:t>
      </w:r>
      <w:r>
        <w:rPr>
          <w:bCs/>
        </w:rPr>
        <w:t>Εργασίας του Συμβουλίου "</w:t>
      </w:r>
      <w:r>
        <w:rPr>
          <w:bCs/>
          <w:iCs/>
          <w:lang w:val="en-GB"/>
        </w:rPr>
        <w:t>Pharmaceuticals</w:t>
      </w:r>
      <w:r w:rsidRPr="00641DE4">
        <w:rPr>
          <w:bCs/>
          <w:iCs/>
        </w:rPr>
        <w:t xml:space="preserve"> </w:t>
      </w:r>
      <w:r>
        <w:rPr>
          <w:bCs/>
          <w:iCs/>
          <w:lang w:val="en-GB"/>
        </w:rPr>
        <w:t>and</w:t>
      </w:r>
      <w:r w:rsidRPr="00641DE4">
        <w:rPr>
          <w:bCs/>
          <w:iCs/>
        </w:rPr>
        <w:t xml:space="preserve"> </w:t>
      </w:r>
      <w:r>
        <w:rPr>
          <w:bCs/>
          <w:iCs/>
          <w:lang w:val="en-GB"/>
        </w:rPr>
        <w:t>Medical</w:t>
      </w:r>
      <w:r w:rsidRPr="00641DE4">
        <w:rPr>
          <w:bCs/>
          <w:iCs/>
        </w:rPr>
        <w:t xml:space="preserve"> </w:t>
      </w:r>
      <w:r>
        <w:rPr>
          <w:bCs/>
          <w:iCs/>
          <w:lang w:val="en-GB"/>
        </w:rPr>
        <w:t>Devices</w:t>
      </w:r>
      <w:r>
        <w:rPr>
          <w:bCs/>
          <w:iCs/>
        </w:rPr>
        <w:t xml:space="preserve">" που πραγματοποιήθηκαν στις Βρυξέλλες και αφορούσαν τροποποιήσεις νομοθετικών προτάσεων. </w:t>
      </w:r>
      <w:r>
        <w:t xml:space="preserve">Κατά τη διάρκεια της Κυπριακής Προεδρίας συζητήθηκαν στις Ομάδες Εργασίας του Συμβουλίου δύο πολύ σημαντικές προτάσεις που αφορούσαν </w:t>
      </w:r>
      <w:r w:rsidRPr="00885D81">
        <w:t xml:space="preserve">τη </w:t>
      </w:r>
      <w:r w:rsidRPr="00885D81">
        <w:rPr>
          <w:i/>
        </w:rPr>
        <w:t>Διαφάνεια στην τιμολόγηση των φαρμάκων και την κάλυψη από τα δημόσια συστήματα υγείας και τις Κλινικές Δοκιμές</w:t>
      </w:r>
    </w:p>
    <w:p w:rsidR="00641DE4" w:rsidRDefault="00641DE4" w:rsidP="002D183B">
      <w:pPr>
        <w:pStyle w:val="Heading5"/>
        <w:numPr>
          <w:ilvl w:val="4"/>
          <w:numId w:val="24"/>
        </w:numPr>
      </w:pPr>
      <w:r>
        <w:rPr>
          <w:sz w:val="24"/>
        </w:rPr>
        <w:t>Συναντήσεις στην Κύπρο</w:t>
      </w:r>
    </w:p>
    <w:p w:rsidR="00641DE4" w:rsidRDefault="00641DE4" w:rsidP="00885D81">
      <w:pPr>
        <w:spacing w:before="240"/>
        <w:rPr>
          <w:bCs/>
        </w:rPr>
      </w:pPr>
      <w:r>
        <w:rPr>
          <w:bCs/>
          <w:iCs/>
        </w:rPr>
        <w:t xml:space="preserve">Οι Φαρμακευτικές Υπηρεσίες διοργάνωσαν και πραγματοποίησαν 7 συναντήσεις στην Κύπρο (επιτροπές και ομάδες εργασίας του  </w:t>
      </w:r>
      <w:r>
        <w:rPr>
          <w:bCs/>
          <w:lang w:val="en-GB"/>
        </w:rPr>
        <w:t>EMA</w:t>
      </w:r>
      <w:r>
        <w:rPr>
          <w:bCs/>
        </w:rPr>
        <w:t xml:space="preserve"> και </w:t>
      </w:r>
      <w:r>
        <w:rPr>
          <w:bCs/>
          <w:lang w:val="en-GB"/>
        </w:rPr>
        <w:t>HMA</w:t>
      </w:r>
      <w:r>
        <w:rPr>
          <w:bCs/>
        </w:rPr>
        <w:t>).</w:t>
      </w:r>
    </w:p>
    <w:p w:rsidR="00641DE4" w:rsidRDefault="00641DE4" w:rsidP="00641DE4">
      <w:pPr>
        <w:numPr>
          <w:ilvl w:val="0"/>
          <w:numId w:val="27"/>
        </w:numPr>
        <w:rPr>
          <w:bCs/>
          <w:lang w:val="en-US"/>
        </w:rPr>
      </w:pPr>
      <w:r>
        <w:rPr>
          <w:bCs/>
          <w:lang w:val="en-US"/>
        </w:rPr>
        <w:t xml:space="preserve">Presidency Meeting of the Coordination group for Mutual Recognition and Decentralized procedures (CMD-h),  </w:t>
      </w:r>
      <w:r>
        <w:rPr>
          <w:bCs/>
          <w:i/>
          <w:iCs/>
          <w:lang w:val="en-US"/>
        </w:rPr>
        <w:t>4</w:t>
      </w:r>
      <w:r>
        <w:rPr>
          <w:bCs/>
          <w:i/>
          <w:iCs/>
          <w:vertAlign w:val="superscript"/>
          <w:lang w:val="en-US"/>
        </w:rPr>
        <w:t>th</w:t>
      </w:r>
      <w:r>
        <w:rPr>
          <w:bCs/>
          <w:i/>
          <w:iCs/>
          <w:lang w:val="en-US"/>
        </w:rPr>
        <w:t xml:space="preserve"> – 5</w:t>
      </w:r>
      <w:r>
        <w:rPr>
          <w:bCs/>
          <w:i/>
          <w:iCs/>
          <w:vertAlign w:val="superscript"/>
          <w:lang w:val="en-US"/>
        </w:rPr>
        <w:t>th</w:t>
      </w:r>
      <w:r>
        <w:rPr>
          <w:bCs/>
          <w:i/>
          <w:iCs/>
          <w:lang w:val="en-US"/>
        </w:rPr>
        <w:t xml:space="preserve"> September 2012 </w:t>
      </w:r>
    </w:p>
    <w:p w:rsidR="00641DE4" w:rsidRDefault="00641DE4" w:rsidP="00641DE4">
      <w:pPr>
        <w:numPr>
          <w:ilvl w:val="0"/>
          <w:numId w:val="27"/>
        </w:numPr>
        <w:rPr>
          <w:bCs/>
          <w:lang w:val="en-US"/>
        </w:rPr>
      </w:pPr>
      <w:r>
        <w:rPr>
          <w:bCs/>
          <w:lang w:val="en-US"/>
        </w:rPr>
        <w:t xml:space="preserve"> Heads of Medicines Agencies (HMA) meeting, </w:t>
      </w:r>
      <w:r>
        <w:rPr>
          <w:bCs/>
          <w:i/>
          <w:iCs/>
          <w:lang w:val="en-US"/>
        </w:rPr>
        <w:t>20</w:t>
      </w:r>
      <w:r>
        <w:rPr>
          <w:bCs/>
          <w:i/>
          <w:iCs/>
          <w:vertAlign w:val="superscript"/>
          <w:lang w:val="en-US"/>
        </w:rPr>
        <w:t>th</w:t>
      </w:r>
      <w:r>
        <w:rPr>
          <w:bCs/>
          <w:i/>
          <w:iCs/>
          <w:lang w:val="en-US"/>
        </w:rPr>
        <w:t xml:space="preserve"> – 21</w:t>
      </w:r>
      <w:r>
        <w:rPr>
          <w:bCs/>
          <w:i/>
          <w:iCs/>
          <w:vertAlign w:val="superscript"/>
          <w:lang w:val="en-US"/>
        </w:rPr>
        <w:t>st</w:t>
      </w:r>
      <w:r>
        <w:rPr>
          <w:bCs/>
          <w:i/>
          <w:iCs/>
          <w:lang w:val="en-US"/>
        </w:rPr>
        <w:t xml:space="preserve"> September 2012 </w:t>
      </w:r>
    </w:p>
    <w:p w:rsidR="00641DE4" w:rsidRDefault="00641DE4" w:rsidP="00641DE4">
      <w:pPr>
        <w:numPr>
          <w:ilvl w:val="0"/>
          <w:numId w:val="27"/>
        </w:numPr>
        <w:rPr>
          <w:bCs/>
          <w:lang w:val="en-US"/>
        </w:rPr>
      </w:pPr>
      <w:r>
        <w:rPr>
          <w:bCs/>
          <w:lang w:val="en-US"/>
        </w:rPr>
        <w:t xml:space="preserve">Committee for Medicinal Products for Human Use (CHMP) Presidency Meeting,                    </w:t>
      </w:r>
      <w:r>
        <w:rPr>
          <w:bCs/>
          <w:i/>
          <w:iCs/>
          <w:lang w:val="en-US"/>
        </w:rPr>
        <w:t>25</w:t>
      </w:r>
      <w:r>
        <w:rPr>
          <w:bCs/>
          <w:i/>
          <w:iCs/>
          <w:vertAlign w:val="superscript"/>
          <w:lang w:val="en-US"/>
        </w:rPr>
        <w:t>th</w:t>
      </w:r>
      <w:r>
        <w:rPr>
          <w:bCs/>
          <w:i/>
          <w:iCs/>
          <w:lang w:val="en-US"/>
        </w:rPr>
        <w:t xml:space="preserve"> – 26</w:t>
      </w:r>
      <w:r>
        <w:rPr>
          <w:bCs/>
          <w:i/>
          <w:iCs/>
          <w:vertAlign w:val="superscript"/>
          <w:lang w:val="en-US"/>
        </w:rPr>
        <w:t>th</w:t>
      </w:r>
      <w:r>
        <w:rPr>
          <w:bCs/>
          <w:i/>
          <w:iCs/>
          <w:lang w:val="en-US"/>
        </w:rPr>
        <w:t xml:space="preserve"> September 2012 </w:t>
      </w:r>
    </w:p>
    <w:p w:rsidR="00641DE4" w:rsidRDefault="00641DE4" w:rsidP="00641DE4">
      <w:pPr>
        <w:numPr>
          <w:ilvl w:val="0"/>
          <w:numId w:val="27"/>
        </w:numPr>
        <w:rPr>
          <w:bCs/>
          <w:lang w:val="en-US"/>
        </w:rPr>
      </w:pPr>
      <w:r>
        <w:rPr>
          <w:bCs/>
          <w:lang w:val="en-US"/>
        </w:rPr>
        <w:t>Pharmacovigilance Risk Assessment Committee – PRAC,</w:t>
      </w:r>
      <w:r>
        <w:rPr>
          <w:bCs/>
          <w:i/>
          <w:iCs/>
          <w:lang w:val="en-US"/>
        </w:rPr>
        <w:t xml:space="preserve"> </w:t>
      </w:r>
      <w:r>
        <w:rPr>
          <w:bCs/>
          <w:lang w:val="en-US"/>
        </w:rPr>
        <w:t xml:space="preserve"> </w:t>
      </w:r>
      <w:r>
        <w:rPr>
          <w:bCs/>
          <w:i/>
          <w:iCs/>
          <w:lang w:val="en-US"/>
        </w:rPr>
        <w:t>25</w:t>
      </w:r>
      <w:r>
        <w:rPr>
          <w:bCs/>
          <w:i/>
          <w:iCs/>
          <w:vertAlign w:val="superscript"/>
          <w:lang w:val="en-US"/>
        </w:rPr>
        <w:t>th</w:t>
      </w:r>
      <w:r>
        <w:rPr>
          <w:bCs/>
          <w:i/>
          <w:iCs/>
          <w:lang w:val="en-US"/>
        </w:rPr>
        <w:t xml:space="preserve"> – 26</w:t>
      </w:r>
      <w:r>
        <w:rPr>
          <w:bCs/>
          <w:i/>
          <w:iCs/>
          <w:vertAlign w:val="superscript"/>
          <w:lang w:val="en-US"/>
        </w:rPr>
        <w:t>th</w:t>
      </w:r>
      <w:r>
        <w:rPr>
          <w:bCs/>
          <w:i/>
          <w:iCs/>
          <w:lang w:val="en-US"/>
        </w:rPr>
        <w:t xml:space="preserve"> September 2012 </w:t>
      </w:r>
    </w:p>
    <w:p w:rsidR="00641DE4" w:rsidRDefault="00641DE4" w:rsidP="00641DE4">
      <w:pPr>
        <w:numPr>
          <w:ilvl w:val="0"/>
          <w:numId w:val="27"/>
        </w:numPr>
        <w:rPr>
          <w:bCs/>
          <w:lang w:val="en-US"/>
        </w:rPr>
      </w:pPr>
      <w:r>
        <w:rPr>
          <w:bCs/>
          <w:lang w:val="en-US"/>
        </w:rPr>
        <w:t xml:space="preserve">The European Medicines Agencies Cooperation on Legal and Legislative Issues Meeting (EMACOLEX), </w:t>
      </w:r>
      <w:r>
        <w:rPr>
          <w:bCs/>
          <w:i/>
          <w:iCs/>
          <w:lang w:val="en-US"/>
        </w:rPr>
        <w:t>25</w:t>
      </w:r>
      <w:r>
        <w:rPr>
          <w:bCs/>
          <w:i/>
          <w:iCs/>
          <w:vertAlign w:val="superscript"/>
          <w:lang w:val="en-US"/>
        </w:rPr>
        <w:t>th</w:t>
      </w:r>
      <w:r>
        <w:rPr>
          <w:bCs/>
          <w:i/>
          <w:iCs/>
          <w:lang w:val="en-US"/>
        </w:rPr>
        <w:t xml:space="preserve"> – 26</w:t>
      </w:r>
      <w:r>
        <w:rPr>
          <w:bCs/>
          <w:i/>
          <w:iCs/>
          <w:vertAlign w:val="superscript"/>
          <w:lang w:val="en-US"/>
        </w:rPr>
        <w:t>th</w:t>
      </w:r>
      <w:r>
        <w:rPr>
          <w:bCs/>
          <w:i/>
          <w:iCs/>
          <w:lang w:val="en-US"/>
        </w:rPr>
        <w:t xml:space="preserve"> October 2012 </w:t>
      </w:r>
    </w:p>
    <w:p w:rsidR="00641DE4" w:rsidRDefault="00641DE4" w:rsidP="00641DE4">
      <w:pPr>
        <w:numPr>
          <w:ilvl w:val="0"/>
          <w:numId w:val="27"/>
        </w:numPr>
        <w:rPr>
          <w:bCs/>
          <w:lang w:val="en-US"/>
        </w:rPr>
      </w:pPr>
      <w:r>
        <w:rPr>
          <w:bCs/>
          <w:i/>
          <w:iCs/>
          <w:lang w:val="en-US"/>
        </w:rPr>
        <w:t xml:space="preserve"> </w:t>
      </w:r>
      <w:r>
        <w:rPr>
          <w:bCs/>
          <w:lang w:val="en-US"/>
        </w:rPr>
        <w:t xml:space="preserve">Pricing and Reimbursement Network meeting and Steering Group on                            access to medicines in Europe, </w:t>
      </w:r>
      <w:r>
        <w:rPr>
          <w:bCs/>
          <w:i/>
          <w:iCs/>
          <w:lang w:val="en-US"/>
        </w:rPr>
        <w:t>6</w:t>
      </w:r>
      <w:r>
        <w:rPr>
          <w:bCs/>
          <w:i/>
          <w:iCs/>
          <w:vertAlign w:val="superscript"/>
          <w:lang w:val="en-US"/>
        </w:rPr>
        <w:t>th</w:t>
      </w:r>
      <w:r>
        <w:rPr>
          <w:bCs/>
          <w:i/>
          <w:iCs/>
          <w:lang w:val="en-US"/>
        </w:rPr>
        <w:t xml:space="preserve"> – 8</w:t>
      </w:r>
      <w:r>
        <w:rPr>
          <w:bCs/>
          <w:i/>
          <w:iCs/>
          <w:vertAlign w:val="superscript"/>
          <w:lang w:val="en-US"/>
        </w:rPr>
        <w:t>th</w:t>
      </w:r>
      <w:r>
        <w:rPr>
          <w:bCs/>
          <w:i/>
          <w:iCs/>
          <w:lang w:val="en-US"/>
        </w:rPr>
        <w:t xml:space="preserve"> November 2012 </w:t>
      </w:r>
    </w:p>
    <w:p w:rsidR="00641DE4" w:rsidRDefault="00641DE4" w:rsidP="00641DE4">
      <w:pPr>
        <w:numPr>
          <w:ilvl w:val="0"/>
          <w:numId w:val="27"/>
        </w:numPr>
        <w:rPr>
          <w:bCs/>
          <w:lang w:val="en-US"/>
        </w:rPr>
      </w:pPr>
      <w:r>
        <w:rPr>
          <w:bCs/>
          <w:lang w:val="en-US"/>
        </w:rPr>
        <w:t>Meeting of the Working Group of Enforcement Officers (WGEO)</w:t>
      </w:r>
      <w:r>
        <w:rPr>
          <w:bCs/>
          <w:i/>
          <w:iCs/>
          <w:lang w:val="en-US"/>
        </w:rPr>
        <w:t>,12</w:t>
      </w:r>
      <w:r>
        <w:rPr>
          <w:bCs/>
          <w:i/>
          <w:iCs/>
          <w:vertAlign w:val="superscript"/>
          <w:lang w:val="en-US"/>
        </w:rPr>
        <w:t>th</w:t>
      </w:r>
      <w:r>
        <w:rPr>
          <w:bCs/>
          <w:i/>
          <w:iCs/>
          <w:lang w:val="en-US"/>
        </w:rPr>
        <w:t xml:space="preserve"> – 14</w:t>
      </w:r>
      <w:r>
        <w:rPr>
          <w:bCs/>
          <w:i/>
          <w:iCs/>
          <w:vertAlign w:val="superscript"/>
          <w:lang w:val="en-US"/>
        </w:rPr>
        <w:t>th</w:t>
      </w:r>
      <w:r>
        <w:rPr>
          <w:bCs/>
          <w:i/>
          <w:iCs/>
          <w:lang w:val="en-US"/>
        </w:rPr>
        <w:t xml:space="preserve"> November </w:t>
      </w:r>
      <w:bookmarkStart w:id="35" w:name="gn%3Av589"/>
      <w:bookmarkStart w:id="36" w:name="gn%3Av588"/>
      <w:bookmarkStart w:id="37" w:name="gn%3Av587"/>
      <w:bookmarkStart w:id="38" w:name="gn%3Av590"/>
      <w:bookmarkStart w:id="39" w:name="gn%3Av591"/>
      <w:bookmarkStart w:id="40" w:name="gn%3Av595"/>
      <w:bookmarkStart w:id="41" w:name="gn%3Av594"/>
      <w:bookmarkStart w:id="42" w:name="gn%3Av593"/>
      <w:bookmarkStart w:id="43" w:name="gn%3Av596"/>
      <w:bookmarkStart w:id="44" w:name="gn%3Av597"/>
      <w:bookmarkStart w:id="45" w:name="gn%3Av601"/>
      <w:bookmarkStart w:id="46" w:name="gn%3Av600"/>
      <w:bookmarkStart w:id="47" w:name="gn%3Av599"/>
      <w:bookmarkStart w:id="48" w:name="gn%3Av602"/>
      <w:bookmarkStart w:id="49" w:name="gn%3Av603"/>
      <w:bookmarkStart w:id="50" w:name="gn%3Av607"/>
      <w:bookmarkStart w:id="51" w:name="gn%3Av606"/>
      <w:bookmarkStart w:id="52" w:name="gn%3Av605"/>
      <w:bookmarkStart w:id="53" w:name="gn%3Av608"/>
      <w:bookmarkStart w:id="54" w:name="gn%3Av60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Cs/>
          <w:i/>
          <w:iCs/>
          <w:lang w:val="en-US"/>
        </w:rPr>
        <w:t xml:space="preserve">2012 </w:t>
      </w:r>
    </w:p>
    <w:p w:rsidR="00641DE4" w:rsidRDefault="00641DE4" w:rsidP="00641DE4">
      <w:pPr>
        <w:rPr>
          <w:bCs/>
          <w:lang w:val="en-GB"/>
        </w:rPr>
      </w:pPr>
    </w:p>
    <w:p w:rsidR="00641DE4" w:rsidRPr="00885D81" w:rsidRDefault="00641DE4" w:rsidP="00885D81">
      <w:pPr>
        <w:spacing w:before="240"/>
        <w:rPr>
          <w:bCs/>
        </w:rPr>
      </w:pPr>
      <w:r>
        <w:rPr>
          <w:bCs/>
        </w:rPr>
        <w:t xml:space="preserve">Όλες οι δραστηριότητες των Φαρμακευτικών Υπηρεσιών στέφθηκαν με πλήρη επιτυχία και άφησαν  τις καλύτερες εντυπώσεις </w:t>
      </w:r>
      <w:r w:rsidR="00885D81">
        <w:rPr>
          <w:bCs/>
        </w:rPr>
        <w:t>στους Ευρωπαίους ομόλογους μας.</w:t>
      </w:r>
    </w:p>
    <w:p w:rsidR="00641DE4" w:rsidRDefault="00641DE4" w:rsidP="00CE4845">
      <w:pPr>
        <w:pStyle w:val="Heading4"/>
      </w:pPr>
      <w:bookmarkStart w:id="55" w:name="_Toc383086789"/>
      <w:r>
        <w:lastRenderedPageBreak/>
        <w:t>Διαπίστευση του Τομέα Φαρμακορρύθμισης</w:t>
      </w:r>
      <w:bookmarkEnd w:id="55"/>
    </w:p>
    <w:p w:rsidR="00641DE4" w:rsidRDefault="00641DE4" w:rsidP="002D183B">
      <w:pPr>
        <w:pStyle w:val="Heading5"/>
        <w:numPr>
          <w:ilvl w:val="4"/>
          <w:numId w:val="24"/>
        </w:numPr>
        <w:rPr>
          <w:szCs w:val="22"/>
        </w:rPr>
      </w:pPr>
      <w:r>
        <w:rPr>
          <w:sz w:val="24"/>
          <w:szCs w:val="22"/>
        </w:rPr>
        <w:t xml:space="preserve">Πιστοποίηση ΙSO 9001:2008 </w:t>
      </w:r>
    </w:p>
    <w:p w:rsidR="00641DE4" w:rsidRPr="00641DE4" w:rsidRDefault="00641DE4" w:rsidP="00885D81">
      <w:pPr>
        <w:pStyle w:val="ListParagraph"/>
        <w:spacing w:before="240"/>
        <w:ind w:left="0"/>
        <w:rPr>
          <w:lang w:val="el-GR"/>
        </w:rPr>
      </w:pPr>
      <w:r w:rsidRPr="00641DE4">
        <w:rPr>
          <w:lang w:val="el-GR"/>
        </w:rPr>
        <w:t xml:space="preserve">Τον Απρίλιο του 2012, μετά από επιθεώρηση του Κυπριακής Εταιρείας Πιστοποίησης, έχει πιστοποιηθεί το Σύστημα Διαχείρισης Ποιότητας του Τομέα Φαρμακορρύθμισης των Φαρμακευτικών Υπηρεσιών σύμφωνα με το Πρότυπο </w:t>
      </w:r>
      <w:r>
        <w:t>CYSENISO</w:t>
      </w:r>
      <w:r w:rsidRPr="00641DE4">
        <w:rPr>
          <w:lang w:val="el-GR"/>
        </w:rPr>
        <w:t xml:space="preserve"> 9001:2008.</w:t>
      </w:r>
    </w:p>
    <w:p w:rsidR="00641DE4" w:rsidRDefault="00641DE4" w:rsidP="00CE4845">
      <w:pPr>
        <w:pStyle w:val="Heading4"/>
      </w:pPr>
      <w:bookmarkStart w:id="56" w:name="_Toc383086790"/>
      <w:r>
        <w:t>Έκδοση Αδειών Κυκλοφορίας</w:t>
      </w:r>
      <w:bookmarkEnd w:id="56"/>
    </w:p>
    <w:p w:rsidR="00641DE4" w:rsidRDefault="00641DE4" w:rsidP="00885D81">
      <w:pPr>
        <w:spacing w:before="240" w:after="100" w:afterAutospacing="1"/>
      </w:pPr>
      <w:r>
        <w:t>Η αξιολόγηση των αιτήσεων για έκδοση αδειών κυκλοφορίας γίνεται από τους φαρμακοποιούς του Τομέα, κατόπιν μελέτης των στοιχείων που υποβάλλονται μαζί με κάθε αίτηση.  Η αξιολόγηση γίνεται πάνω στους 3 άξονες Ασφάλεια-Αποτελεσματικότητα–Ποιότητα. Οι αιτήσεις αυτές μαζί με έκθεση του Τομέα παραπέμπονται σε υποεπιτροπή του Συμβουλίου Φαρμάκων για περαιτέρω μελέτη. Η υποεπιτροπή στη συνέχεια υποβάλλει τελικές εισηγήσεις προς το Συμβούλιο Φαρμάκων.</w:t>
      </w:r>
    </w:p>
    <w:p w:rsidR="00641DE4" w:rsidRDefault="00641DE4" w:rsidP="00641DE4">
      <w:pPr>
        <w:spacing w:after="100" w:afterAutospacing="1"/>
      </w:pPr>
      <w:r>
        <w:t>Του Συμβουλίου Φαρμάκων, που ιδρύθηκε σύμφωνα με τις διατάξεις της πιο πάνω νομοθεσίας, προεδρεύει ο Γενικός Διευθυντής του Υπουργείου Υγείας και μέλη του είναι οι Διευθυντές των Φαρμακευτικών Υπηρεσιών και του Γενικού Χημείου, τέσσερις γιατροί και τέσσερις φαρμακοποιοί του δημόσιου και ιδιωτικού τομέα. Το Συμβούλιο Φαρμάκων, σύμφωνα με τη νομοθεσία, έχει την εξουσία για την έγκριση ή την απόρριψη μιας αίτησης.  Κατά τη διάρκεια του έτους έγιναν 4 συνεδρίες του Συμβουλίου Φαρμάκων.</w:t>
      </w:r>
    </w:p>
    <w:tbl>
      <w:tblPr>
        <w:tblW w:w="9072" w:type="dxa"/>
        <w:tblInd w:w="108" w:type="dxa"/>
        <w:tblLayout w:type="fixed"/>
        <w:tblLook w:val="04A0"/>
      </w:tblPr>
      <w:tblGrid>
        <w:gridCol w:w="1541"/>
        <w:gridCol w:w="753"/>
        <w:gridCol w:w="753"/>
        <w:gridCol w:w="753"/>
        <w:gridCol w:w="753"/>
        <w:gridCol w:w="753"/>
        <w:gridCol w:w="753"/>
        <w:gridCol w:w="753"/>
        <w:gridCol w:w="753"/>
        <w:gridCol w:w="747"/>
        <w:gridCol w:w="6"/>
        <w:gridCol w:w="754"/>
      </w:tblGrid>
      <w:tr w:rsidR="00641DE4" w:rsidTr="00885D81">
        <w:trPr>
          <w:trHeight w:val="315"/>
        </w:trPr>
        <w:tc>
          <w:tcPr>
            <w:tcW w:w="8312" w:type="dxa"/>
            <w:gridSpan w:val="10"/>
            <w:noWrap/>
            <w:vAlign w:val="bottom"/>
            <w:hideMark/>
          </w:tcPr>
          <w:p w:rsidR="00641DE4" w:rsidRDefault="002D183B">
            <w:pPr>
              <w:spacing w:line="276" w:lineRule="auto"/>
              <w:rPr>
                <w:b/>
                <w:iCs/>
                <w:lang w:eastAsia="en-US"/>
              </w:rPr>
            </w:pPr>
            <w:r>
              <w:rPr>
                <w:b/>
                <w:iCs/>
                <w:lang w:eastAsia="en-US"/>
              </w:rPr>
              <w:t>Πίνακας 1.2.2</w:t>
            </w:r>
            <w:r w:rsidR="00641DE4">
              <w:rPr>
                <w:b/>
                <w:iCs/>
                <w:lang w:eastAsia="en-US"/>
              </w:rPr>
              <w:t>.5.α: Άδειες Κυκλοφορίας Νέων Φαρμάκων</w:t>
            </w:r>
          </w:p>
        </w:tc>
        <w:tc>
          <w:tcPr>
            <w:tcW w:w="760" w:type="dxa"/>
            <w:gridSpan w:val="2"/>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r>
      <w:tr w:rsidR="00641DE4" w:rsidTr="00885D81">
        <w:trPr>
          <w:trHeight w:val="330"/>
        </w:trPr>
        <w:tc>
          <w:tcPr>
            <w:tcW w:w="1541" w:type="dxa"/>
            <w:tcBorders>
              <w:top w:val="double" w:sz="6" w:space="0" w:color="auto"/>
              <w:left w:val="nil"/>
              <w:bottom w:val="single" w:sz="8"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 </w:t>
            </w:r>
          </w:p>
        </w:tc>
        <w:tc>
          <w:tcPr>
            <w:tcW w:w="1506"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2008</w:t>
            </w:r>
          </w:p>
        </w:tc>
        <w:tc>
          <w:tcPr>
            <w:tcW w:w="1506"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2009</w:t>
            </w:r>
          </w:p>
        </w:tc>
        <w:tc>
          <w:tcPr>
            <w:tcW w:w="1506"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val="en-GB" w:eastAsia="en-US"/>
              </w:rPr>
              <w:t>2010</w:t>
            </w:r>
          </w:p>
        </w:tc>
        <w:tc>
          <w:tcPr>
            <w:tcW w:w="1506"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2011</w:t>
            </w:r>
          </w:p>
        </w:tc>
        <w:tc>
          <w:tcPr>
            <w:tcW w:w="1507" w:type="dxa"/>
            <w:gridSpan w:val="3"/>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2012</w:t>
            </w:r>
          </w:p>
        </w:tc>
      </w:tr>
      <w:tr w:rsidR="00641DE4" w:rsidTr="00885D81">
        <w:trPr>
          <w:trHeight w:val="585"/>
        </w:trPr>
        <w:tc>
          <w:tcPr>
            <w:tcW w:w="1541" w:type="dxa"/>
            <w:tcBorders>
              <w:top w:val="nil"/>
              <w:left w:val="nil"/>
              <w:bottom w:val="single" w:sz="4" w:space="0" w:color="auto"/>
              <w:right w:val="nil"/>
            </w:tcBorders>
            <w:vAlign w:val="center"/>
            <w:hideMark/>
          </w:tcPr>
          <w:p w:rsidR="00641DE4" w:rsidRDefault="00641DE4">
            <w:pPr>
              <w:spacing w:after="0" w:line="276" w:lineRule="auto"/>
              <w:rPr>
                <w:color w:val="000000"/>
                <w:sz w:val="18"/>
                <w:szCs w:val="18"/>
                <w:lang w:eastAsia="en-US"/>
              </w:rPr>
            </w:pPr>
            <w:r>
              <w:rPr>
                <w:color w:val="000000"/>
                <w:sz w:val="18"/>
                <w:szCs w:val="18"/>
                <w:lang w:eastAsia="en-US"/>
              </w:rPr>
              <w:t> </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3"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3"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4"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r>
      <w:tr w:rsidR="00641DE4" w:rsidTr="00885D81">
        <w:trPr>
          <w:trHeight w:val="645"/>
        </w:trPr>
        <w:tc>
          <w:tcPr>
            <w:tcW w:w="1541" w:type="dxa"/>
            <w:vAlign w:val="center"/>
            <w:hideMark/>
          </w:tcPr>
          <w:p w:rsidR="00641DE4" w:rsidRDefault="00641DE4">
            <w:pPr>
              <w:spacing w:after="0" w:line="276" w:lineRule="auto"/>
              <w:rPr>
                <w:b/>
                <w:bCs/>
                <w:color w:val="000000"/>
                <w:sz w:val="18"/>
                <w:szCs w:val="18"/>
                <w:lang w:eastAsia="en-US"/>
              </w:rPr>
            </w:pPr>
            <w:r>
              <w:rPr>
                <w:b/>
                <w:bCs/>
                <w:color w:val="000000"/>
                <w:sz w:val="18"/>
                <w:szCs w:val="18"/>
                <w:lang w:eastAsia="en-US"/>
              </w:rPr>
              <w:t>Εθνικές</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101</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54</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75</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41</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166</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94</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121</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102</w:t>
            </w:r>
          </w:p>
        </w:tc>
        <w:tc>
          <w:tcPr>
            <w:tcW w:w="753"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98</w:t>
            </w:r>
          </w:p>
        </w:tc>
        <w:tc>
          <w:tcPr>
            <w:tcW w:w="754"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179</w:t>
            </w:r>
          </w:p>
        </w:tc>
      </w:tr>
      <w:tr w:rsidR="00641DE4" w:rsidTr="00885D81">
        <w:trPr>
          <w:trHeight w:val="960"/>
        </w:trPr>
        <w:tc>
          <w:tcPr>
            <w:tcW w:w="1541" w:type="dxa"/>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 xml:space="preserve">Αμοιβαίας Αναγνώρισης/ Αποκεντρωμένης Διαδικασίας </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275</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80</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325</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98</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354</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171</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54</w:t>
            </w:r>
          </w:p>
        </w:tc>
        <w:tc>
          <w:tcPr>
            <w:tcW w:w="753"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205</w:t>
            </w:r>
          </w:p>
        </w:tc>
        <w:tc>
          <w:tcPr>
            <w:tcW w:w="753"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45</w:t>
            </w:r>
          </w:p>
        </w:tc>
        <w:tc>
          <w:tcPr>
            <w:tcW w:w="754"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282</w:t>
            </w:r>
          </w:p>
        </w:tc>
      </w:tr>
      <w:tr w:rsidR="00641DE4" w:rsidTr="00885D81">
        <w:trPr>
          <w:trHeight w:val="660"/>
        </w:trPr>
        <w:tc>
          <w:tcPr>
            <w:tcW w:w="1541" w:type="dxa"/>
            <w:tcBorders>
              <w:top w:val="nil"/>
              <w:left w:val="nil"/>
              <w:bottom w:val="double" w:sz="6" w:space="0" w:color="auto"/>
              <w:right w:val="nil"/>
            </w:tcBorders>
            <w:vAlign w:val="center"/>
            <w:hideMark/>
          </w:tcPr>
          <w:p w:rsidR="00641DE4" w:rsidRDefault="00641DE4">
            <w:pPr>
              <w:spacing w:after="0" w:line="276" w:lineRule="auto"/>
              <w:rPr>
                <w:b/>
                <w:bCs/>
                <w:color w:val="000000"/>
                <w:sz w:val="18"/>
                <w:szCs w:val="18"/>
                <w:lang w:eastAsia="en-US"/>
              </w:rPr>
            </w:pPr>
            <w:r>
              <w:rPr>
                <w:b/>
                <w:bCs/>
                <w:color w:val="000000"/>
                <w:sz w:val="18"/>
                <w:szCs w:val="18"/>
                <w:lang w:eastAsia="en-US"/>
              </w:rPr>
              <w:t>Ειδικές Άδειες</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100</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70</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146</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72</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123</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75</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91</w:t>
            </w:r>
          </w:p>
        </w:tc>
        <w:tc>
          <w:tcPr>
            <w:tcW w:w="753"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90</w:t>
            </w:r>
          </w:p>
        </w:tc>
        <w:tc>
          <w:tcPr>
            <w:tcW w:w="753"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130</w:t>
            </w:r>
          </w:p>
        </w:tc>
        <w:tc>
          <w:tcPr>
            <w:tcW w:w="754"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75</w:t>
            </w:r>
          </w:p>
        </w:tc>
      </w:tr>
    </w:tbl>
    <w:p w:rsidR="00885D81" w:rsidRPr="00D706E2" w:rsidRDefault="00885D81" w:rsidP="00641DE4">
      <w:pPr>
        <w:spacing w:after="100" w:afterAutospacing="1"/>
        <w:rPr>
          <w:b/>
          <w:iCs/>
          <w:sz w:val="12"/>
          <w:lang w:val="en-US"/>
        </w:rPr>
      </w:pPr>
    </w:p>
    <w:tbl>
      <w:tblPr>
        <w:tblW w:w="9072" w:type="dxa"/>
        <w:tblInd w:w="108" w:type="dxa"/>
        <w:tblLayout w:type="fixed"/>
        <w:tblLook w:val="04A0"/>
      </w:tblPr>
      <w:tblGrid>
        <w:gridCol w:w="1556"/>
        <w:gridCol w:w="751"/>
        <w:gridCol w:w="752"/>
        <w:gridCol w:w="751"/>
        <w:gridCol w:w="752"/>
        <w:gridCol w:w="752"/>
        <w:gridCol w:w="751"/>
        <w:gridCol w:w="752"/>
        <w:gridCol w:w="751"/>
        <w:gridCol w:w="752"/>
        <w:gridCol w:w="752"/>
      </w:tblGrid>
      <w:tr w:rsidR="00641DE4" w:rsidTr="00885D81">
        <w:trPr>
          <w:trHeight w:val="315"/>
        </w:trPr>
        <w:tc>
          <w:tcPr>
            <w:tcW w:w="9072" w:type="dxa"/>
            <w:gridSpan w:val="11"/>
            <w:noWrap/>
            <w:vAlign w:val="bottom"/>
            <w:hideMark/>
          </w:tcPr>
          <w:p w:rsidR="00641DE4" w:rsidRDefault="00641DE4">
            <w:pPr>
              <w:spacing w:line="276" w:lineRule="auto"/>
              <w:jc w:val="left"/>
              <w:rPr>
                <w:rFonts w:ascii="Calibri" w:hAnsi="Calibri"/>
                <w:color w:val="000000"/>
                <w:sz w:val="18"/>
                <w:szCs w:val="18"/>
                <w:lang w:eastAsia="en-US"/>
              </w:rPr>
            </w:pPr>
            <w:r>
              <w:rPr>
                <w:b/>
                <w:iCs/>
                <w:lang w:eastAsia="en-US"/>
              </w:rPr>
              <w:t xml:space="preserve">Πίνακας </w:t>
            </w:r>
            <w:r w:rsidR="002D183B">
              <w:rPr>
                <w:b/>
                <w:iCs/>
                <w:lang w:eastAsia="en-US"/>
              </w:rPr>
              <w:t>1.2.2.</w:t>
            </w:r>
            <w:r>
              <w:rPr>
                <w:b/>
                <w:iCs/>
                <w:lang w:eastAsia="en-US"/>
              </w:rPr>
              <w:t>5.β: Ανανεώσεις Αδειών Κυκλοφορίας</w:t>
            </w:r>
          </w:p>
        </w:tc>
      </w:tr>
      <w:tr w:rsidR="00641DE4" w:rsidTr="00885D81">
        <w:trPr>
          <w:trHeight w:val="330"/>
        </w:trPr>
        <w:tc>
          <w:tcPr>
            <w:tcW w:w="1556" w:type="dxa"/>
            <w:tcBorders>
              <w:top w:val="double" w:sz="6" w:space="0" w:color="auto"/>
              <w:left w:val="nil"/>
              <w:bottom w:val="single" w:sz="8"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 </w:t>
            </w:r>
          </w:p>
        </w:tc>
        <w:tc>
          <w:tcPr>
            <w:tcW w:w="1503"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2008</w:t>
            </w:r>
          </w:p>
        </w:tc>
        <w:tc>
          <w:tcPr>
            <w:tcW w:w="1503"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2009</w:t>
            </w:r>
          </w:p>
        </w:tc>
        <w:tc>
          <w:tcPr>
            <w:tcW w:w="1503"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2010</w:t>
            </w:r>
          </w:p>
        </w:tc>
        <w:tc>
          <w:tcPr>
            <w:tcW w:w="1503"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2011</w:t>
            </w:r>
          </w:p>
        </w:tc>
        <w:tc>
          <w:tcPr>
            <w:tcW w:w="1504" w:type="dxa"/>
            <w:gridSpan w:val="2"/>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2012</w:t>
            </w:r>
          </w:p>
        </w:tc>
      </w:tr>
      <w:tr w:rsidR="00641DE4" w:rsidTr="00885D81">
        <w:trPr>
          <w:trHeight w:val="585"/>
        </w:trPr>
        <w:tc>
          <w:tcPr>
            <w:tcW w:w="1556" w:type="dxa"/>
            <w:tcBorders>
              <w:top w:val="nil"/>
              <w:left w:val="nil"/>
              <w:bottom w:val="single" w:sz="4"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 </w:t>
            </w:r>
          </w:p>
        </w:tc>
        <w:tc>
          <w:tcPr>
            <w:tcW w:w="751"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1"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1"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1"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5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r>
      <w:tr w:rsidR="00641DE4" w:rsidTr="00885D81">
        <w:trPr>
          <w:trHeight w:val="567"/>
        </w:trPr>
        <w:tc>
          <w:tcPr>
            <w:tcW w:w="1556" w:type="dxa"/>
            <w:vAlign w:val="center"/>
            <w:hideMark/>
          </w:tcPr>
          <w:p w:rsidR="00641DE4" w:rsidRDefault="00641DE4">
            <w:pPr>
              <w:spacing w:after="0" w:line="276" w:lineRule="auto"/>
              <w:rPr>
                <w:b/>
                <w:bCs/>
                <w:color w:val="000000"/>
                <w:sz w:val="18"/>
                <w:szCs w:val="18"/>
                <w:lang w:eastAsia="en-US"/>
              </w:rPr>
            </w:pPr>
            <w:r>
              <w:rPr>
                <w:b/>
                <w:bCs/>
                <w:color w:val="000000"/>
                <w:sz w:val="18"/>
                <w:szCs w:val="18"/>
                <w:lang w:eastAsia="en-US"/>
              </w:rPr>
              <w:t>Εθνικές</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379</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88</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341</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177</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535</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257</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228</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418</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233</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235</w:t>
            </w:r>
          </w:p>
        </w:tc>
      </w:tr>
      <w:tr w:rsidR="00641DE4" w:rsidTr="00885D81">
        <w:trPr>
          <w:trHeight w:val="567"/>
        </w:trPr>
        <w:tc>
          <w:tcPr>
            <w:tcW w:w="1556" w:type="dxa"/>
            <w:vAlign w:val="center"/>
            <w:hideMark/>
          </w:tcPr>
          <w:p w:rsidR="00641DE4" w:rsidRDefault="00641DE4">
            <w:pPr>
              <w:spacing w:after="0" w:line="276" w:lineRule="auto"/>
              <w:rPr>
                <w:b/>
                <w:bCs/>
                <w:color w:val="000000"/>
                <w:sz w:val="18"/>
                <w:szCs w:val="18"/>
                <w:lang w:eastAsia="en-US"/>
              </w:rPr>
            </w:pPr>
            <w:r>
              <w:rPr>
                <w:b/>
                <w:bCs/>
                <w:color w:val="000000"/>
                <w:sz w:val="18"/>
                <w:szCs w:val="18"/>
                <w:lang w:eastAsia="en-US"/>
              </w:rPr>
              <w:t>Αμοιβαίας Αναγνώρισης</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84</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22</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108</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18</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74</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8</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124</w:t>
            </w:r>
          </w:p>
        </w:tc>
        <w:tc>
          <w:tcPr>
            <w:tcW w:w="751"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68</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122</w:t>
            </w:r>
          </w:p>
        </w:tc>
        <w:tc>
          <w:tcPr>
            <w:tcW w:w="75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118</w:t>
            </w:r>
          </w:p>
        </w:tc>
      </w:tr>
      <w:tr w:rsidR="00641DE4" w:rsidTr="00885D81">
        <w:trPr>
          <w:trHeight w:val="567"/>
        </w:trPr>
        <w:tc>
          <w:tcPr>
            <w:tcW w:w="1556" w:type="dxa"/>
            <w:tcBorders>
              <w:top w:val="nil"/>
              <w:left w:val="nil"/>
              <w:bottom w:val="double" w:sz="6" w:space="0" w:color="auto"/>
              <w:right w:val="nil"/>
            </w:tcBorders>
            <w:vAlign w:val="center"/>
            <w:hideMark/>
          </w:tcPr>
          <w:p w:rsidR="00641DE4" w:rsidRDefault="00641DE4">
            <w:pPr>
              <w:spacing w:after="0" w:line="276" w:lineRule="auto"/>
              <w:rPr>
                <w:b/>
                <w:bCs/>
                <w:color w:val="000000"/>
                <w:sz w:val="18"/>
                <w:szCs w:val="18"/>
                <w:lang w:eastAsia="en-US"/>
              </w:rPr>
            </w:pPr>
            <w:r>
              <w:rPr>
                <w:b/>
                <w:bCs/>
                <w:color w:val="000000"/>
                <w:sz w:val="18"/>
                <w:szCs w:val="18"/>
                <w:lang w:val="en-GB" w:eastAsia="en-US"/>
              </w:rPr>
              <w:t>Ειδικές Άδειες</w:t>
            </w:r>
          </w:p>
        </w:tc>
        <w:tc>
          <w:tcPr>
            <w:tcW w:w="751"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134</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141</w:t>
            </w:r>
          </w:p>
        </w:tc>
        <w:tc>
          <w:tcPr>
            <w:tcW w:w="751"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215</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174</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179</w:t>
            </w:r>
          </w:p>
        </w:tc>
        <w:tc>
          <w:tcPr>
            <w:tcW w:w="751"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215</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219</w:t>
            </w:r>
          </w:p>
        </w:tc>
        <w:tc>
          <w:tcPr>
            <w:tcW w:w="751"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63</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221</w:t>
            </w:r>
          </w:p>
        </w:tc>
        <w:tc>
          <w:tcPr>
            <w:tcW w:w="75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275</w:t>
            </w:r>
          </w:p>
        </w:tc>
      </w:tr>
    </w:tbl>
    <w:p w:rsidR="00D706E2" w:rsidRPr="00D706E2" w:rsidRDefault="00D706E2" w:rsidP="00641DE4">
      <w:pPr>
        <w:spacing w:after="100" w:afterAutospacing="1"/>
        <w:rPr>
          <w:b/>
          <w:iCs/>
          <w:sz w:val="12"/>
          <w:szCs w:val="16"/>
          <w:lang w:val="en-US"/>
        </w:rPr>
      </w:pPr>
    </w:p>
    <w:tbl>
      <w:tblPr>
        <w:tblW w:w="9072" w:type="dxa"/>
        <w:tblInd w:w="108" w:type="dxa"/>
        <w:tblLayout w:type="fixed"/>
        <w:tblLook w:val="04A0"/>
      </w:tblPr>
      <w:tblGrid>
        <w:gridCol w:w="1220"/>
        <w:gridCol w:w="56"/>
        <w:gridCol w:w="729"/>
        <w:gridCol w:w="785"/>
        <w:gridCol w:w="167"/>
        <w:gridCol w:w="618"/>
        <w:gridCol w:w="605"/>
        <w:gridCol w:w="180"/>
        <w:gridCol w:w="786"/>
        <w:gridCol w:w="257"/>
        <w:gridCol w:w="528"/>
        <w:gridCol w:w="695"/>
        <w:gridCol w:w="90"/>
        <w:gridCol w:w="150"/>
        <w:gridCol w:w="505"/>
        <w:gridCol w:w="130"/>
        <w:gridCol w:w="325"/>
        <w:gridCol w:w="23"/>
        <w:gridCol w:w="231"/>
        <w:gridCol w:w="206"/>
        <w:gridCol w:w="260"/>
        <w:gridCol w:w="526"/>
      </w:tblGrid>
      <w:tr w:rsidR="00641DE4" w:rsidTr="00885D81">
        <w:trPr>
          <w:trHeight w:val="318"/>
        </w:trPr>
        <w:tc>
          <w:tcPr>
            <w:tcW w:w="6866" w:type="dxa"/>
            <w:gridSpan w:val="14"/>
            <w:tcBorders>
              <w:top w:val="nil"/>
              <w:left w:val="nil"/>
              <w:bottom w:val="double" w:sz="6" w:space="0" w:color="auto"/>
              <w:right w:val="nil"/>
            </w:tcBorders>
            <w:noWrap/>
            <w:vAlign w:val="bottom"/>
            <w:hideMark/>
          </w:tcPr>
          <w:p w:rsidR="00641DE4" w:rsidRDefault="00641DE4">
            <w:pPr>
              <w:spacing w:line="276" w:lineRule="auto"/>
              <w:jc w:val="left"/>
              <w:rPr>
                <w:b/>
                <w:bCs/>
                <w:color w:val="000000"/>
                <w:lang w:eastAsia="en-US"/>
              </w:rPr>
            </w:pPr>
            <w:r>
              <w:rPr>
                <w:b/>
                <w:iCs/>
                <w:lang w:eastAsia="en-US"/>
              </w:rPr>
              <w:t xml:space="preserve">Πίνακας </w:t>
            </w:r>
            <w:r w:rsidR="002D183B">
              <w:rPr>
                <w:b/>
                <w:iCs/>
                <w:lang w:eastAsia="en-US"/>
              </w:rPr>
              <w:t>1.2.2.5</w:t>
            </w:r>
            <w:r>
              <w:rPr>
                <w:b/>
                <w:iCs/>
                <w:lang w:eastAsia="en-US"/>
              </w:rPr>
              <w:t xml:space="preserve">.γ: </w:t>
            </w:r>
            <w:r>
              <w:rPr>
                <w:b/>
                <w:bCs/>
                <w:color w:val="000000"/>
                <w:lang w:eastAsia="en-US"/>
              </w:rPr>
              <w:t>Τροποποιήσεις Αδειών Κυκλοφορίας</w:t>
            </w:r>
          </w:p>
        </w:tc>
        <w:tc>
          <w:tcPr>
            <w:tcW w:w="505" w:type="dxa"/>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c>
          <w:tcPr>
            <w:tcW w:w="709" w:type="dxa"/>
            <w:gridSpan w:val="4"/>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c>
          <w:tcPr>
            <w:tcW w:w="992" w:type="dxa"/>
            <w:gridSpan w:val="3"/>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r>
      <w:tr w:rsidR="00641DE4" w:rsidTr="00885D81">
        <w:trPr>
          <w:trHeight w:val="333"/>
        </w:trPr>
        <w:tc>
          <w:tcPr>
            <w:tcW w:w="1220"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 </w:t>
            </w:r>
          </w:p>
        </w:tc>
        <w:tc>
          <w:tcPr>
            <w:tcW w:w="1570" w:type="dxa"/>
            <w:gridSpan w:val="3"/>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2008</w:t>
            </w:r>
          </w:p>
        </w:tc>
        <w:tc>
          <w:tcPr>
            <w:tcW w:w="1570" w:type="dxa"/>
            <w:gridSpan w:val="4"/>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2009</w:t>
            </w:r>
          </w:p>
        </w:tc>
        <w:tc>
          <w:tcPr>
            <w:tcW w:w="1571" w:type="dxa"/>
            <w:gridSpan w:val="3"/>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2010</w:t>
            </w:r>
          </w:p>
        </w:tc>
        <w:tc>
          <w:tcPr>
            <w:tcW w:w="1570" w:type="dxa"/>
            <w:gridSpan w:val="5"/>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2011</w:t>
            </w:r>
          </w:p>
        </w:tc>
        <w:tc>
          <w:tcPr>
            <w:tcW w:w="1571" w:type="dxa"/>
            <w:gridSpan w:val="6"/>
            <w:tcBorders>
              <w:top w:val="double" w:sz="6" w:space="0" w:color="auto"/>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2012</w:t>
            </w:r>
          </w:p>
        </w:tc>
      </w:tr>
      <w:tr w:rsidR="00641DE4" w:rsidTr="00885D81">
        <w:trPr>
          <w:trHeight w:val="599"/>
        </w:trPr>
        <w:tc>
          <w:tcPr>
            <w:tcW w:w="1220"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 </w:t>
            </w:r>
          </w:p>
        </w:tc>
        <w:tc>
          <w:tcPr>
            <w:tcW w:w="785"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85"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85"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85"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86"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85"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85"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85" w:type="dxa"/>
            <w:gridSpan w:val="3"/>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c>
          <w:tcPr>
            <w:tcW w:w="785" w:type="dxa"/>
            <w:gridSpan w:val="4"/>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Αιτήσεων</w:t>
            </w:r>
          </w:p>
        </w:tc>
        <w:tc>
          <w:tcPr>
            <w:tcW w:w="786" w:type="dxa"/>
            <w:gridSpan w:val="2"/>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6"/>
                <w:szCs w:val="18"/>
                <w:lang w:eastAsia="en-US"/>
              </w:rPr>
            </w:pPr>
            <w:r>
              <w:rPr>
                <w:b/>
                <w:bCs/>
                <w:color w:val="000000"/>
                <w:sz w:val="16"/>
                <w:szCs w:val="18"/>
                <w:lang w:eastAsia="en-US"/>
              </w:rPr>
              <w:t>Αρ. Αδειών</w:t>
            </w:r>
          </w:p>
        </w:tc>
      </w:tr>
      <w:tr w:rsidR="00641DE4" w:rsidTr="00885D81">
        <w:trPr>
          <w:trHeight w:val="650"/>
        </w:trPr>
        <w:tc>
          <w:tcPr>
            <w:tcW w:w="1220" w:type="dxa"/>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Εθνικές</w:t>
            </w:r>
          </w:p>
        </w:tc>
        <w:tc>
          <w:tcPr>
            <w:tcW w:w="785"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2736</w:t>
            </w:r>
          </w:p>
        </w:tc>
        <w:tc>
          <w:tcPr>
            <w:tcW w:w="785"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2283</w:t>
            </w:r>
          </w:p>
        </w:tc>
        <w:tc>
          <w:tcPr>
            <w:tcW w:w="785"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2333</w:t>
            </w:r>
          </w:p>
        </w:tc>
        <w:tc>
          <w:tcPr>
            <w:tcW w:w="785"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2531</w:t>
            </w:r>
          </w:p>
        </w:tc>
        <w:tc>
          <w:tcPr>
            <w:tcW w:w="786" w:type="dxa"/>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2674</w:t>
            </w:r>
          </w:p>
        </w:tc>
        <w:tc>
          <w:tcPr>
            <w:tcW w:w="785"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3033</w:t>
            </w:r>
          </w:p>
        </w:tc>
        <w:tc>
          <w:tcPr>
            <w:tcW w:w="785"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2854</w:t>
            </w:r>
          </w:p>
        </w:tc>
        <w:tc>
          <w:tcPr>
            <w:tcW w:w="785" w:type="dxa"/>
            <w:gridSpan w:val="3"/>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2415</w:t>
            </w:r>
          </w:p>
        </w:tc>
        <w:tc>
          <w:tcPr>
            <w:tcW w:w="785" w:type="dxa"/>
            <w:gridSpan w:val="4"/>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4802</w:t>
            </w:r>
          </w:p>
        </w:tc>
        <w:tc>
          <w:tcPr>
            <w:tcW w:w="786" w:type="dxa"/>
            <w:gridSpan w:val="2"/>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3009</w:t>
            </w:r>
          </w:p>
        </w:tc>
      </w:tr>
      <w:tr w:rsidR="00641DE4" w:rsidTr="002008D1">
        <w:trPr>
          <w:trHeight w:val="650"/>
        </w:trPr>
        <w:tc>
          <w:tcPr>
            <w:tcW w:w="1276" w:type="dxa"/>
            <w:gridSpan w:val="2"/>
            <w:tcBorders>
              <w:top w:val="nil"/>
              <w:left w:val="nil"/>
              <w:bottom w:val="double" w:sz="6"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Αμοιβαίας Αναγνώρισης</w:t>
            </w:r>
          </w:p>
        </w:tc>
        <w:tc>
          <w:tcPr>
            <w:tcW w:w="729"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1543</w:t>
            </w:r>
          </w:p>
        </w:tc>
        <w:tc>
          <w:tcPr>
            <w:tcW w:w="785"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1055</w:t>
            </w:r>
          </w:p>
        </w:tc>
        <w:tc>
          <w:tcPr>
            <w:tcW w:w="785"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1862</w:t>
            </w:r>
          </w:p>
        </w:tc>
        <w:tc>
          <w:tcPr>
            <w:tcW w:w="785"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1153</w:t>
            </w:r>
          </w:p>
        </w:tc>
        <w:tc>
          <w:tcPr>
            <w:tcW w:w="786"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3812</w:t>
            </w:r>
          </w:p>
        </w:tc>
        <w:tc>
          <w:tcPr>
            <w:tcW w:w="785"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val="en-GB" w:eastAsia="en-US"/>
              </w:rPr>
              <w:t>1439</w:t>
            </w:r>
          </w:p>
        </w:tc>
        <w:tc>
          <w:tcPr>
            <w:tcW w:w="785"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5649</w:t>
            </w:r>
          </w:p>
        </w:tc>
        <w:tc>
          <w:tcPr>
            <w:tcW w:w="785" w:type="dxa"/>
            <w:gridSpan w:val="3"/>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2288</w:t>
            </w:r>
          </w:p>
        </w:tc>
        <w:tc>
          <w:tcPr>
            <w:tcW w:w="785" w:type="dxa"/>
            <w:gridSpan w:val="4"/>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6005</w:t>
            </w:r>
          </w:p>
        </w:tc>
        <w:tc>
          <w:tcPr>
            <w:tcW w:w="786" w:type="dxa"/>
            <w:gridSpan w:val="2"/>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2754</w:t>
            </w:r>
          </w:p>
        </w:tc>
      </w:tr>
      <w:tr w:rsidR="00641DE4" w:rsidTr="00885D81">
        <w:trPr>
          <w:trHeight w:val="318"/>
        </w:trPr>
        <w:tc>
          <w:tcPr>
            <w:tcW w:w="7371" w:type="dxa"/>
            <w:gridSpan w:val="15"/>
            <w:tcBorders>
              <w:top w:val="nil"/>
              <w:left w:val="nil"/>
              <w:bottom w:val="double" w:sz="6" w:space="0" w:color="auto"/>
              <w:right w:val="nil"/>
            </w:tcBorders>
            <w:noWrap/>
            <w:vAlign w:val="bottom"/>
          </w:tcPr>
          <w:p w:rsidR="00D706E2" w:rsidRPr="00D706E2" w:rsidRDefault="00D706E2">
            <w:pPr>
              <w:spacing w:line="276" w:lineRule="auto"/>
              <w:jc w:val="left"/>
              <w:rPr>
                <w:b/>
                <w:iCs/>
                <w:sz w:val="20"/>
                <w:lang w:eastAsia="en-US"/>
              </w:rPr>
            </w:pPr>
          </w:p>
          <w:p w:rsidR="00641DE4" w:rsidRDefault="00641DE4">
            <w:pPr>
              <w:spacing w:line="276" w:lineRule="auto"/>
              <w:jc w:val="left"/>
              <w:rPr>
                <w:b/>
                <w:bCs/>
                <w:color w:val="000000"/>
                <w:lang w:eastAsia="en-US"/>
              </w:rPr>
            </w:pPr>
            <w:r>
              <w:rPr>
                <w:b/>
                <w:iCs/>
                <w:lang w:eastAsia="en-US"/>
              </w:rPr>
              <w:t xml:space="preserve">Πίνακας </w:t>
            </w:r>
            <w:r w:rsidR="002D183B">
              <w:rPr>
                <w:b/>
                <w:iCs/>
                <w:lang w:eastAsia="en-US"/>
              </w:rPr>
              <w:t>1.2.2.5</w:t>
            </w:r>
            <w:r>
              <w:rPr>
                <w:b/>
                <w:iCs/>
                <w:lang w:eastAsia="en-US"/>
              </w:rPr>
              <w:t xml:space="preserve">.δ: </w:t>
            </w:r>
            <w:r>
              <w:rPr>
                <w:b/>
                <w:bCs/>
                <w:color w:val="000000"/>
                <w:lang w:eastAsia="en-US"/>
              </w:rPr>
              <w:t>Άλλες Άδειες- Αξιολογήσεις - Διαδικασίες</w:t>
            </w:r>
          </w:p>
        </w:tc>
        <w:tc>
          <w:tcPr>
            <w:tcW w:w="455" w:type="dxa"/>
            <w:gridSpan w:val="2"/>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c>
          <w:tcPr>
            <w:tcW w:w="720" w:type="dxa"/>
            <w:gridSpan w:val="4"/>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c>
          <w:tcPr>
            <w:tcW w:w="526" w:type="dxa"/>
            <w:noWrap/>
            <w:vAlign w:val="bottom"/>
            <w:hideMark/>
          </w:tcPr>
          <w:p w:rsidR="00641DE4" w:rsidRDefault="00641DE4">
            <w:pPr>
              <w:spacing w:after="0" w:line="276" w:lineRule="auto"/>
              <w:jc w:val="left"/>
              <w:rPr>
                <w:rFonts w:asciiTheme="minorHAnsi" w:eastAsiaTheme="minorHAnsi" w:hAnsiTheme="minorHAnsi"/>
                <w:sz w:val="22"/>
                <w:szCs w:val="22"/>
                <w:lang w:eastAsia="en-US"/>
              </w:rPr>
            </w:pPr>
          </w:p>
        </w:tc>
      </w:tr>
      <w:tr w:rsidR="00641DE4" w:rsidTr="00885D81">
        <w:trPr>
          <w:trHeight w:val="333"/>
        </w:trPr>
        <w:tc>
          <w:tcPr>
            <w:tcW w:w="2957" w:type="dxa"/>
            <w:gridSpan w:val="5"/>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 xml:space="preserve">  </w:t>
            </w:r>
          </w:p>
        </w:tc>
        <w:tc>
          <w:tcPr>
            <w:tcW w:w="1223" w:type="dxa"/>
            <w:gridSpan w:val="2"/>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2008</w:t>
            </w:r>
          </w:p>
        </w:tc>
        <w:tc>
          <w:tcPr>
            <w:tcW w:w="1223" w:type="dxa"/>
            <w:gridSpan w:val="3"/>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2009</w:t>
            </w:r>
          </w:p>
        </w:tc>
        <w:tc>
          <w:tcPr>
            <w:tcW w:w="1223" w:type="dxa"/>
            <w:gridSpan w:val="2"/>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2010</w:t>
            </w:r>
          </w:p>
        </w:tc>
        <w:tc>
          <w:tcPr>
            <w:tcW w:w="1223" w:type="dxa"/>
            <w:gridSpan w:val="6"/>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2011</w:t>
            </w:r>
          </w:p>
        </w:tc>
        <w:tc>
          <w:tcPr>
            <w:tcW w:w="1223" w:type="dxa"/>
            <w:gridSpan w:val="4"/>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2012</w:t>
            </w:r>
          </w:p>
        </w:tc>
      </w:tr>
      <w:tr w:rsidR="00641DE4" w:rsidTr="00885D81">
        <w:trPr>
          <w:trHeight w:val="970"/>
        </w:trPr>
        <w:tc>
          <w:tcPr>
            <w:tcW w:w="2957" w:type="dxa"/>
            <w:gridSpan w:val="5"/>
            <w:tcBorders>
              <w:top w:val="single" w:sz="4" w:space="0" w:color="auto"/>
              <w:left w:val="nil"/>
              <w:bottom w:val="nil"/>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Προϊόντα Κεντρικής Διαδικασίας για τα οποία ελέχθησαν οι Μεταφράσεις</w:t>
            </w:r>
          </w:p>
        </w:tc>
        <w:tc>
          <w:tcPr>
            <w:tcW w:w="1223" w:type="dxa"/>
            <w:gridSpan w:val="2"/>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lang w:eastAsia="en-US"/>
              </w:rPr>
              <w:t>50</w:t>
            </w:r>
          </w:p>
        </w:tc>
        <w:tc>
          <w:tcPr>
            <w:tcW w:w="1223" w:type="dxa"/>
            <w:gridSpan w:val="3"/>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lang w:eastAsia="en-US"/>
              </w:rPr>
              <w:t>76</w:t>
            </w:r>
          </w:p>
        </w:tc>
        <w:tc>
          <w:tcPr>
            <w:tcW w:w="1223" w:type="dxa"/>
            <w:gridSpan w:val="2"/>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lang w:val="en-GB" w:eastAsia="en-US"/>
              </w:rPr>
              <w:t>54</w:t>
            </w:r>
          </w:p>
        </w:tc>
        <w:tc>
          <w:tcPr>
            <w:tcW w:w="1223" w:type="dxa"/>
            <w:gridSpan w:val="6"/>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lang w:val="en-GB" w:eastAsia="en-US"/>
              </w:rPr>
              <w:t>73</w:t>
            </w:r>
          </w:p>
        </w:tc>
        <w:tc>
          <w:tcPr>
            <w:tcW w:w="1223" w:type="dxa"/>
            <w:gridSpan w:val="4"/>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lang w:eastAsia="en-US"/>
              </w:rPr>
              <w:t>53</w:t>
            </w:r>
          </w:p>
        </w:tc>
      </w:tr>
      <w:tr w:rsidR="00641DE4" w:rsidTr="00885D81">
        <w:trPr>
          <w:trHeight w:val="333"/>
        </w:trPr>
        <w:tc>
          <w:tcPr>
            <w:tcW w:w="2957" w:type="dxa"/>
            <w:gridSpan w:val="5"/>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Έκδοση Αδειών Παράλληλης εισαγωγής</w:t>
            </w:r>
          </w:p>
        </w:tc>
        <w:tc>
          <w:tcPr>
            <w:tcW w:w="1223" w:type="dxa"/>
            <w:gridSpan w:val="2"/>
            <w:vAlign w:val="center"/>
            <w:hideMark/>
          </w:tcPr>
          <w:p w:rsidR="00641DE4" w:rsidRDefault="00641DE4">
            <w:pPr>
              <w:spacing w:line="276" w:lineRule="auto"/>
              <w:jc w:val="center"/>
              <w:rPr>
                <w:color w:val="000000"/>
                <w:sz w:val="20"/>
                <w:lang w:eastAsia="en-US"/>
              </w:rPr>
            </w:pPr>
            <w:r>
              <w:rPr>
                <w:color w:val="000000"/>
                <w:sz w:val="20"/>
                <w:lang w:eastAsia="en-US"/>
              </w:rPr>
              <w:t>0</w:t>
            </w:r>
          </w:p>
        </w:tc>
        <w:tc>
          <w:tcPr>
            <w:tcW w:w="1223" w:type="dxa"/>
            <w:gridSpan w:val="3"/>
            <w:vAlign w:val="center"/>
            <w:hideMark/>
          </w:tcPr>
          <w:p w:rsidR="00641DE4" w:rsidRDefault="00641DE4">
            <w:pPr>
              <w:spacing w:line="276" w:lineRule="auto"/>
              <w:jc w:val="center"/>
              <w:rPr>
                <w:color w:val="000000"/>
                <w:sz w:val="20"/>
                <w:lang w:eastAsia="en-US"/>
              </w:rPr>
            </w:pPr>
            <w:r>
              <w:rPr>
                <w:color w:val="000000"/>
                <w:sz w:val="20"/>
                <w:lang w:eastAsia="en-US"/>
              </w:rPr>
              <w:t>0</w:t>
            </w:r>
          </w:p>
        </w:tc>
        <w:tc>
          <w:tcPr>
            <w:tcW w:w="1223" w:type="dxa"/>
            <w:gridSpan w:val="2"/>
            <w:vAlign w:val="center"/>
            <w:hideMark/>
          </w:tcPr>
          <w:p w:rsidR="00641DE4" w:rsidRDefault="00641DE4">
            <w:pPr>
              <w:spacing w:line="276" w:lineRule="auto"/>
              <w:jc w:val="center"/>
              <w:rPr>
                <w:color w:val="000000"/>
                <w:sz w:val="20"/>
                <w:lang w:eastAsia="en-US"/>
              </w:rPr>
            </w:pPr>
            <w:r>
              <w:rPr>
                <w:color w:val="000000"/>
                <w:sz w:val="20"/>
                <w:lang w:eastAsia="en-US"/>
              </w:rPr>
              <w:t>12</w:t>
            </w:r>
          </w:p>
        </w:tc>
        <w:tc>
          <w:tcPr>
            <w:tcW w:w="1223" w:type="dxa"/>
            <w:gridSpan w:val="6"/>
            <w:vAlign w:val="center"/>
            <w:hideMark/>
          </w:tcPr>
          <w:p w:rsidR="00641DE4" w:rsidRDefault="00641DE4">
            <w:pPr>
              <w:spacing w:line="276" w:lineRule="auto"/>
              <w:jc w:val="center"/>
              <w:rPr>
                <w:color w:val="000000"/>
                <w:sz w:val="20"/>
                <w:lang w:eastAsia="en-US"/>
              </w:rPr>
            </w:pPr>
            <w:r>
              <w:rPr>
                <w:color w:val="000000"/>
                <w:sz w:val="20"/>
                <w:lang w:eastAsia="en-US"/>
              </w:rPr>
              <w:t>18</w:t>
            </w:r>
          </w:p>
        </w:tc>
        <w:tc>
          <w:tcPr>
            <w:tcW w:w="1223" w:type="dxa"/>
            <w:gridSpan w:val="4"/>
            <w:vAlign w:val="center"/>
            <w:hideMark/>
          </w:tcPr>
          <w:p w:rsidR="00641DE4" w:rsidRDefault="00641DE4">
            <w:pPr>
              <w:spacing w:line="276" w:lineRule="auto"/>
              <w:jc w:val="center"/>
              <w:rPr>
                <w:color w:val="000000"/>
                <w:sz w:val="20"/>
                <w:lang w:eastAsia="en-US"/>
              </w:rPr>
            </w:pPr>
            <w:r>
              <w:rPr>
                <w:color w:val="000000"/>
                <w:sz w:val="20"/>
                <w:lang w:eastAsia="en-US"/>
              </w:rPr>
              <w:t>0</w:t>
            </w:r>
          </w:p>
        </w:tc>
      </w:tr>
      <w:tr w:rsidR="00641DE4" w:rsidTr="00885D81">
        <w:trPr>
          <w:trHeight w:val="875"/>
        </w:trPr>
        <w:tc>
          <w:tcPr>
            <w:tcW w:w="2957" w:type="dxa"/>
            <w:gridSpan w:val="5"/>
            <w:tcBorders>
              <w:top w:val="nil"/>
              <w:left w:val="nil"/>
              <w:bottom w:val="single" w:sz="8"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Άδειες Κλινικών  Δοκιμών</w:t>
            </w:r>
          </w:p>
        </w:tc>
        <w:tc>
          <w:tcPr>
            <w:tcW w:w="1223" w:type="dxa"/>
            <w:gridSpan w:val="2"/>
            <w:tcBorders>
              <w:top w:val="nil"/>
              <w:left w:val="nil"/>
              <w:bottom w:val="single" w:sz="8"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4</w:t>
            </w:r>
          </w:p>
        </w:tc>
        <w:tc>
          <w:tcPr>
            <w:tcW w:w="1223" w:type="dxa"/>
            <w:gridSpan w:val="3"/>
            <w:tcBorders>
              <w:top w:val="nil"/>
              <w:left w:val="nil"/>
              <w:bottom w:val="single" w:sz="8"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2</w:t>
            </w:r>
          </w:p>
        </w:tc>
        <w:tc>
          <w:tcPr>
            <w:tcW w:w="1223" w:type="dxa"/>
            <w:gridSpan w:val="2"/>
            <w:tcBorders>
              <w:top w:val="nil"/>
              <w:left w:val="nil"/>
              <w:bottom w:val="single" w:sz="8"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1</w:t>
            </w:r>
          </w:p>
        </w:tc>
        <w:tc>
          <w:tcPr>
            <w:tcW w:w="1223" w:type="dxa"/>
            <w:gridSpan w:val="6"/>
            <w:tcBorders>
              <w:top w:val="nil"/>
              <w:left w:val="nil"/>
              <w:bottom w:val="single" w:sz="8"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c>
          <w:tcPr>
            <w:tcW w:w="1223" w:type="dxa"/>
            <w:gridSpan w:val="4"/>
            <w:tcBorders>
              <w:top w:val="nil"/>
              <w:left w:val="nil"/>
              <w:bottom w:val="single" w:sz="8"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3</w:t>
            </w:r>
          </w:p>
        </w:tc>
      </w:tr>
    </w:tbl>
    <w:p w:rsidR="00885D81" w:rsidRPr="00D706E2" w:rsidRDefault="00641DE4" w:rsidP="00D706E2">
      <w:pPr>
        <w:spacing w:before="240" w:after="100" w:afterAutospacing="1"/>
      </w:pPr>
      <w:r>
        <w:t>Ο αριθμός των φαρμακευτικών προϊόντων που είχαν άδεια κυκλοφορίας το τέλος του 2012 ανέρχεται στα 4977. Ο αριθμός των φαρμακευτικών προϊόντων που έχουν άδεια κυκλοφορίας έχει αυξηθεί σημαντικά σε σχέση με τα προηγούμενα έτη.</w:t>
      </w:r>
    </w:p>
    <w:p w:rsidR="00641DE4" w:rsidRDefault="00641DE4" w:rsidP="00641DE4">
      <w:pPr>
        <w:spacing w:after="100" w:afterAutospacing="1"/>
        <w:rPr>
          <w:b/>
          <w:iCs/>
        </w:rPr>
      </w:pPr>
      <w:r>
        <w:rPr>
          <w:b/>
          <w:iCs/>
        </w:rPr>
        <w:t xml:space="preserve">Διάγραμμα </w:t>
      </w:r>
      <w:r w:rsidR="002D183B">
        <w:rPr>
          <w:b/>
          <w:iCs/>
          <w:lang w:eastAsia="en-US"/>
        </w:rPr>
        <w:t>1.2.2.5</w:t>
      </w:r>
      <w:r>
        <w:rPr>
          <w:b/>
          <w:iCs/>
        </w:rPr>
        <w:t>.α: Αριθμός Φαρμ. Προϊόντων που είχαν άδεια περί το τέλος κάθε έτους</w:t>
      </w:r>
    </w:p>
    <w:p w:rsidR="00641DE4" w:rsidRDefault="00641DE4" w:rsidP="00641DE4">
      <w:pPr>
        <w:spacing w:after="100" w:afterAutospacing="1"/>
      </w:pPr>
      <w:r>
        <w:rPr>
          <w:noProof/>
          <w:lang w:val="en-US" w:eastAsia="en-US"/>
        </w:rPr>
        <w:drawing>
          <wp:inline distT="0" distB="0" distL="0" distR="0">
            <wp:extent cx="5764305" cy="2563905"/>
            <wp:effectExtent l="0" t="0" r="27305" b="2730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6E2" w:rsidRDefault="00D706E2" w:rsidP="00641DE4">
      <w:pPr>
        <w:spacing w:after="100" w:afterAutospacing="1"/>
        <w:rPr>
          <w:b/>
          <w:iCs/>
          <w:lang w:val="en-US"/>
        </w:rPr>
      </w:pPr>
    </w:p>
    <w:p w:rsidR="00641DE4" w:rsidRDefault="00641DE4" w:rsidP="00641DE4">
      <w:pPr>
        <w:spacing w:after="100" w:afterAutospacing="1"/>
        <w:rPr>
          <w:b/>
          <w:iCs/>
        </w:rPr>
      </w:pPr>
      <w:r>
        <w:rPr>
          <w:b/>
          <w:iCs/>
        </w:rPr>
        <w:lastRenderedPageBreak/>
        <w:t xml:space="preserve">Διάγραμμα </w:t>
      </w:r>
      <w:r w:rsidR="002D183B">
        <w:rPr>
          <w:b/>
          <w:iCs/>
          <w:lang w:eastAsia="en-US"/>
        </w:rPr>
        <w:t>1.2.2.5</w:t>
      </w:r>
      <w:r>
        <w:rPr>
          <w:b/>
          <w:iCs/>
        </w:rPr>
        <w:t>.β: Άδειες Κυκλοφορίας Νέων Φαρμάκων</w:t>
      </w:r>
    </w:p>
    <w:p w:rsidR="00885D81" w:rsidRDefault="00641DE4" w:rsidP="00641DE4">
      <w:pPr>
        <w:spacing w:after="100" w:afterAutospacing="1"/>
        <w:rPr>
          <w:b/>
          <w:iCs/>
        </w:rPr>
      </w:pPr>
      <w:r>
        <w:rPr>
          <w:b/>
          <w:noProof/>
          <w:lang w:val="en-US" w:eastAsia="en-US"/>
        </w:rPr>
        <w:drawing>
          <wp:inline distT="0" distB="0" distL="0" distR="0">
            <wp:extent cx="5764696" cy="3727174"/>
            <wp:effectExtent l="0" t="0" r="26670" b="260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1DE4" w:rsidRDefault="00641DE4" w:rsidP="00641DE4">
      <w:pPr>
        <w:spacing w:after="100" w:afterAutospacing="1"/>
        <w:rPr>
          <w:b/>
          <w:iCs/>
        </w:rPr>
      </w:pPr>
      <w:r>
        <w:rPr>
          <w:b/>
          <w:iCs/>
        </w:rPr>
        <w:t xml:space="preserve">Διάγραμμα </w:t>
      </w:r>
      <w:r w:rsidR="002D183B">
        <w:rPr>
          <w:b/>
          <w:iCs/>
          <w:lang w:eastAsia="en-US"/>
        </w:rPr>
        <w:t>1.2.2.5</w:t>
      </w:r>
      <w:r>
        <w:rPr>
          <w:b/>
          <w:iCs/>
        </w:rPr>
        <w:t>.γ: Ανανεώσεις Αδειών Κυκλοφορίας</w:t>
      </w:r>
    </w:p>
    <w:p w:rsidR="00641DE4" w:rsidRDefault="00641DE4" w:rsidP="00641DE4">
      <w:pPr>
        <w:spacing w:after="100" w:afterAutospacing="1"/>
        <w:rPr>
          <w:b/>
          <w:iCs/>
        </w:rPr>
      </w:pPr>
      <w:r>
        <w:rPr>
          <w:b/>
          <w:noProof/>
          <w:lang w:val="en-US" w:eastAsia="en-US"/>
        </w:rPr>
        <w:drawing>
          <wp:inline distT="0" distB="0" distL="0" distR="0">
            <wp:extent cx="5754756" cy="3617844"/>
            <wp:effectExtent l="0" t="0" r="17780" b="2095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1DE4" w:rsidRDefault="00641DE4" w:rsidP="00641DE4">
      <w:pPr>
        <w:rPr>
          <w:b/>
        </w:rPr>
      </w:pPr>
    </w:p>
    <w:p w:rsidR="00641DE4" w:rsidRDefault="00641DE4" w:rsidP="00641DE4">
      <w:pPr>
        <w:rPr>
          <w:b/>
        </w:rPr>
      </w:pPr>
      <w:r>
        <w:rPr>
          <w:b/>
        </w:rPr>
        <w:lastRenderedPageBreak/>
        <w:t xml:space="preserve">Διάγραμμα  </w:t>
      </w:r>
      <w:r w:rsidR="002D183B">
        <w:rPr>
          <w:b/>
          <w:iCs/>
          <w:lang w:eastAsia="en-US"/>
        </w:rPr>
        <w:t>1.2.2.5</w:t>
      </w:r>
      <w:r>
        <w:rPr>
          <w:b/>
        </w:rPr>
        <w:t>.δ: Αιτήσεις / Τροποποιήσεις Αδειών Κυκλοφορίας</w:t>
      </w:r>
    </w:p>
    <w:p w:rsidR="00641DE4" w:rsidRDefault="00641DE4" w:rsidP="00641DE4">
      <w:pPr>
        <w:rPr>
          <w:b/>
        </w:rPr>
      </w:pPr>
      <w:r>
        <w:rPr>
          <w:b/>
          <w:noProof/>
          <w:lang w:val="en-US" w:eastAsia="en-US"/>
        </w:rPr>
        <w:drawing>
          <wp:inline distT="0" distB="0" distL="0" distR="0">
            <wp:extent cx="5754756" cy="3866322"/>
            <wp:effectExtent l="0" t="0" r="17780" b="2032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DE4" w:rsidRDefault="00641DE4" w:rsidP="00641DE4">
      <w:pPr>
        <w:rPr>
          <w:b/>
        </w:rPr>
      </w:pPr>
    </w:p>
    <w:p w:rsidR="00641DE4" w:rsidRDefault="00641DE4" w:rsidP="00641DE4">
      <w:pPr>
        <w:rPr>
          <w:b/>
        </w:rPr>
      </w:pPr>
      <w:r>
        <w:rPr>
          <w:b/>
        </w:rPr>
        <w:t xml:space="preserve">Διάγραμμα  </w:t>
      </w:r>
      <w:r w:rsidR="002D183B">
        <w:rPr>
          <w:b/>
          <w:iCs/>
          <w:lang w:eastAsia="en-US"/>
        </w:rPr>
        <w:t>1.2.2.5</w:t>
      </w:r>
      <w:r>
        <w:rPr>
          <w:b/>
        </w:rPr>
        <w:t>.ε: Προϊόντα Κεντρικής Διαδικασίας για τα οποία ελέχθησαν οι Μεταφράσεις</w:t>
      </w:r>
    </w:p>
    <w:p w:rsidR="00641DE4" w:rsidRDefault="00641DE4" w:rsidP="0027110F">
      <w:pPr>
        <w:spacing w:before="240"/>
        <w:rPr>
          <w:b/>
        </w:rPr>
      </w:pPr>
      <w:r>
        <w:rPr>
          <w:b/>
          <w:noProof/>
          <w:lang w:val="en-US" w:eastAsia="en-US"/>
        </w:rPr>
        <w:drawing>
          <wp:inline distT="0" distB="0" distL="0" distR="0">
            <wp:extent cx="5728447" cy="3630706"/>
            <wp:effectExtent l="0" t="0" r="24765" b="2730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DE4" w:rsidRDefault="00641DE4" w:rsidP="00CE4845">
      <w:pPr>
        <w:pStyle w:val="Heading4"/>
      </w:pPr>
      <w:bookmarkStart w:id="57" w:name="_Toc383086791"/>
      <w:r>
        <w:lastRenderedPageBreak/>
        <w:t>Έκδοση Αδειών Παρασκευής/ Χονδρικής Πώλησης και Εισαγωγής από Τρίτες Χώρες</w:t>
      </w:r>
      <w:bookmarkEnd w:id="57"/>
      <w:r>
        <w:t xml:space="preserve"> </w:t>
      </w:r>
    </w:p>
    <w:p w:rsidR="0027110F" w:rsidRPr="00D706E2" w:rsidRDefault="00641DE4" w:rsidP="0027110F">
      <w:pPr>
        <w:spacing w:before="240" w:after="100" w:afterAutospacing="1"/>
      </w:pPr>
      <w:r>
        <w:t xml:space="preserve">Όπως και στην περίπτωση της έκδοσης αδειών κυκλοφορίας, το αρμόδιο όργανο για έκδοση αδειών παρασκευής είναι το Συμβούλιο Φαρμάκων. Οι άδειες για παρασκευή φαρμάκων εκδίδονται κατόπιν επιθεώρησης των υποστατικών παρασκευής.  Επιθεωρήσεις γίνονται επίσης περιοδικά, βάσει προκαθορισμένου προγράμματος για να ελεγχθεί κατά πόσο τηρούνται οι Κανόνες Ορθής Παρασκευαστικής Πρακτικής (ΚΟΠΠ - GMP), όπως αυτοί καθορίζονται από τη νομοθεσία.  Άλλες επιθεωρήσεις που πραγματοποιούνται είναι επιθεωρήσεις για τήρηση των Κανόνων Καλής Διανομής (GDP), επιθεωρήσεις υποστατικών εισαγωγής φαρμακευτικών προϊόντων από Τρίτες Χώρες, επιθεωρήσεις Εργαστηρίων με σύμβαση. </w:t>
      </w:r>
    </w:p>
    <w:tbl>
      <w:tblPr>
        <w:tblW w:w="9072" w:type="dxa"/>
        <w:tblInd w:w="108" w:type="dxa"/>
        <w:tblLook w:val="04A0"/>
      </w:tblPr>
      <w:tblGrid>
        <w:gridCol w:w="2694"/>
        <w:gridCol w:w="1275"/>
        <w:gridCol w:w="1276"/>
        <w:gridCol w:w="1275"/>
        <w:gridCol w:w="1276"/>
        <w:gridCol w:w="1276"/>
      </w:tblGrid>
      <w:tr w:rsidR="00641DE4" w:rsidTr="0027110F">
        <w:trPr>
          <w:trHeight w:val="315"/>
        </w:trPr>
        <w:tc>
          <w:tcPr>
            <w:tcW w:w="9072" w:type="dxa"/>
            <w:gridSpan w:val="6"/>
            <w:tcBorders>
              <w:top w:val="nil"/>
              <w:left w:val="nil"/>
              <w:bottom w:val="double" w:sz="6" w:space="0" w:color="auto"/>
              <w:right w:val="nil"/>
            </w:tcBorders>
            <w:noWrap/>
            <w:vAlign w:val="bottom"/>
            <w:hideMark/>
          </w:tcPr>
          <w:p w:rsidR="00641DE4" w:rsidRDefault="00641DE4" w:rsidP="002D183B">
            <w:pPr>
              <w:spacing w:line="276" w:lineRule="auto"/>
              <w:jc w:val="left"/>
              <w:rPr>
                <w:rFonts w:ascii="Calibri" w:hAnsi="Calibri"/>
                <w:b/>
                <w:color w:val="000000"/>
                <w:lang w:eastAsia="en-US"/>
              </w:rPr>
            </w:pPr>
            <w:r>
              <w:rPr>
                <w:b/>
                <w:lang w:eastAsia="en-US"/>
              </w:rPr>
              <w:t xml:space="preserve">Πίνακας </w:t>
            </w:r>
            <w:r>
              <w:rPr>
                <w:b/>
                <w:iCs/>
                <w:lang w:eastAsia="en-US"/>
              </w:rPr>
              <w:t>1</w:t>
            </w:r>
            <w:r w:rsidR="002D183B">
              <w:rPr>
                <w:b/>
                <w:iCs/>
                <w:lang w:eastAsia="en-US"/>
              </w:rPr>
              <w:t>.2.2</w:t>
            </w:r>
            <w:r>
              <w:rPr>
                <w:b/>
                <w:iCs/>
                <w:lang w:eastAsia="en-US"/>
              </w:rPr>
              <w:t>.6</w:t>
            </w:r>
            <w:r>
              <w:rPr>
                <w:b/>
                <w:lang w:eastAsia="en-US"/>
              </w:rPr>
              <w:t>.α.: Επιθεωρήσεις Υποστατικών Παρασκευής και Χονδρικής Πώλησης</w:t>
            </w:r>
          </w:p>
        </w:tc>
      </w:tr>
      <w:tr w:rsidR="00641DE4" w:rsidTr="0027110F">
        <w:trPr>
          <w:trHeight w:val="557"/>
        </w:trPr>
        <w:tc>
          <w:tcPr>
            <w:tcW w:w="2694" w:type="dxa"/>
            <w:tcBorders>
              <w:top w:val="nil"/>
              <w:left w:val="nil"/>
              <w:bottom w:val="single" w:sz="4" w:space="0" w:color="auto"/>
              <w:right w:val="nil"/>
            </w:tcBorders>
            <w:vAlign w:val="center"/>
            <w:hideMark/>
          </w:tcPr>
          <w:p w:rsidR="00641DE4" w:rsidRDefault="00641DE4">
            <w:pPr>
              <w:spacing w:line="276" w:lineRule="auto"/>
              <w:jc w:val="left"/>
              <w:rPr>
                <w:b/>
                <w:bCs/>
                <w:color w:val="000000"/>
                <w:lang w:eastAsia="en-US"/>
              </w:rPr>
            </w:pPr>
            <w:r>
              <w:rPr>
                <w:b/>
                <w:bCs/>
                <w:color w:val="000000"/>
                <w:lang w:eastAsia="en-US"/>
              </w:rPr>
              <w:t>Επιθεωρήσεις</w:t>
            </w:r>
          </w:p>
        </w:tc>
        <w:tc>
          <w:tcPr>
            <w:tcW w:w="1275"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2008</w:t>
            </w:r>
          </w:p>
        </w:tc>
        <w:tc>
          <w:tcPr>
            <w:tcW w:w="1276"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2009</w:t>
            </w:r>
          </w:p>
        </w:tc>
        <w:tc>
          <w:tcPr>
            <w:tcW w:w="1275"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2010</w:t>
            </w:r>
          </w:p>
        </w:tc>
        <w:tc>
          <w:tcPr>
            <w:tcW w:w="1276"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2011</w:t>
            </w:r>
          </w:p>
        </w:tc>
        <w:tc>
          <w:tcPr>
            <w:tcW w:w="1276"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2012</w:t>
            </w:r>
          </w:p>
        </w:tc>
      </w:tr>
      <w:tr w:rsidR="00641DE4" w:rsidTr="0027110F">
        <w:trPr>
          <w:trHeight w:val="1125"/>
        </w:trPr>
        <w:tc>
          <w:tcPr>
            <w:tcW w:w="2694" w:type="dxa"/>
            <w:tcBorders>
              <w:top w:val="single" w:sz="4" w:space="0" w:color="auto"/>
              <w:left w:val="nil"/>
              <w:bottom w:val="nil"/>
              <w:right w:val="nil"/>
            </w:tcBorders>
            <w:vAlign w:val="center"/>
            <w:hideMark/>
          </w:tcPr>
          <w:p w:rsidR="00641DE4" w:rsidRDefault="00641DE4">
            <w:pPr>
              <w:spacing w:line="276" w:lineRule="auto"/>
              <w:jc w:val="left"/>
              <w:rPr>
                <w:b/>
                <w:color w:val="000000"/>
                <w:lang w:eastAsia="en-US"/>
              </w:rPr>
            </w:pPr>
            <w:r>
              <w:rPr>
                <w:b/>
                <w:color w:val="000000"/>
                <w:sz w:val="22"/>
                <w:szCs w:val="22"/>
                <w:lang w:eastAsia="en-US"/>
              </w:rPr>
              <w:t>Επιθ. Υποστατικών παρασκευής / εισαγωγής από 3ες χώρες (GMP)</w:t>
            </w:r>
          </w:p>
        </w:tc>
        <w:tc>
          <w:tcPr>
            <w:tcW w:w="1275"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18</w:t>
            </w:r>
          </w:p>
        </w:tc>
        <w:tc>
          <w:tcPr>
            <w:tcW w:w="1276"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21</w:t>
            </w:r>
          </w:p>
        </w:tc>
        <w:tc>
          <w:tcPr>
            <w:tcW w:w="1275"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14</w:t>
            </w:r>
          </w:p>
        </w:tc>
        <w:tc>
          <w:tcPr>
            <w:tcW w:w="1276" w:type="dxa"/>
            <w:tcBorders>
              <w:top w:val="single" w:sz="4" w:space="0" w:color="auto"/>
              <w:left w:val="nil"/>
              <w:bottom w:val="nil"/>
              <w:right w:val="nil"/>
            </w:tcBorders>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20</w:t>
            </w:r>
          </w:p>
        </w:tc>
        <w:tc>
          <w:tcPr>
            <w:tcW w:w="1276" w:type="dxa"/>
            <w:tcBorders>
              <w:top w:val="single" w:sz="4" w:space="0" w:color="auto"/>
              <w:left w:val="nil"/>
              <w:bottom w:val="nil"/>
              <w:right w:val="nil"/>
            </w:tcBorders>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18</w:t>
            </w:r>
          </w:p>
        </w:tc>
      </w:tr>
      <w:tr w:rsidR="00641DE4" w:rsidTr="0027110F">
        <w:trPr>
          <w:trHeight w:val="330"/>
        </w:trPr>
        <w:tc>
          <w:tcPr>
            <w:tcW w:w="2694" w:type="dxa"/>
            <w:vAlign w:val="center"/>
            <w:hideMark/>
          </w:tcPr>
          <w:p w:rsidR="00641DE4" w:rsidRDefault="00641DE4">
            <w:pPr>
              <w:spacing w:line="276" w:lineRule="auto"/>
              <w:jc w:val="left"/>
              <w:rPr>
                <w:b/>
                <w:color w:val="000000"/>
                <w:lang w:eastAsia="en-US"/>
              </w:rPr>
            </w:pPr>
            <w:r>
              <w:rPr>
                <w:b/>
                <w:color w:val="000000"/>
                <w:sz w:val="22"/>
                <w:szCs w:val="22"/>
                <w:lang w:eastAsia="en-US"/>
              </w:rPr>
              <w:t>Επιθ. Υποστατικών Χονδροπωλών (GDP)</w:t>
            </w:r>
          </w:p>
        </w:tc>
        <w:tc>
          <w:tcPr>
            <w:tcW w:w="1275" w:type="dxa"/>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37</w:t>
            </w:r>
          </w:p>
        </w:tc>
        <w:tc>
          <w:tcPr>
            <w:tcW w:w="1276" w:type="dxa"/>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34</w:t>
            </w:r>
          </w:p>
        </w:tc>
        <w:tc>
          <w:tcPr>
            <w:tcW w:w="1275"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15</w:t>
            </w:r>
          </w:p>
        </w:tc>
        <w:tc>
          <w:tcPr>
            <w:tcW w:w="1276" w:type="dxa"/>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37</w:t>
            </w:r>
          </w:p>
        </w:tc>
        <w:tc>
          <w:tcPr>
            <w:tcW w:w="1276" w:type="dxa"/>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28</w:t>
            </w:r>
          </w:p>
        </w:tc>
      </w:tr>
      <w:tr w:rsidR="00641DE4" w:rsidTr="0027110F">
        <w:trPr>
          <w:trHeight w:val="778"/>
        </w:trPr>
        <w:tc>
          <w:tcPr>
            <w:tcW w:w="2694" w:type="dxa"/>
            <w:vAlign w:val="center"/>
            <w:hideMark/>
          </w:tcPr>
          <w:p w:rsidR="00641DE4" w:rsidRDefault="00641DE4">
            <w:pPr>
              <w:spacing w:line="276" w:lineRule="auto"/>
              <w:jc w:val="left"/>
              <w:rPr>
                <w:b/>
                <w:color w:val="000000"/>
                <w:lang w:eastAsia="en-US"/>
              </w:rPr>
            </w:pPr>
            <w:r>
              <w:rPr>
                <w:b/>
                <w:color w:val="000000"/>
                <w:sz w:val="22"/>
                <w:szCs w:val="22"/>
                <w:lang w:eastAsia="en-US"/>
              </w:rPr>
              <w:t>Επιθεωρήσεις Εργαστηρίων με σύμβαση</w:t>
            </w:r>
          </w:p>
        </w:tc>
        <w:tc>
          <w:tcPr>
            <w:tcW w:w="1275" w:type="dxa"/>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0</w:t>
            </w:r>
          </w:p>
        </w:tc>
        <w:tc>
          <w:tcPr>
            <w:tcW w:w="1276" w:type="dxa"/>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2</w:t>
            </w:r>
          </w:p>
        </w:tc>
        <w:tc>
          <w:tcPr>
            <w:tcW w:w="1275"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0</w:t>
            </w:r>
          </w:p>
        </w:tc>
        <w:tc>
          <w:tcPr>
            <w:tcW w:w="1276" w:type="dxa"/>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1</w:t>
            </w:r>
          </w:p>
        </w:tc>
        <w:tc>
          <w:tcPr>
            <w:tcW w:w="1276" w:type="dxa"/>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1</w:t>
            </w:r>
          </w:p>
        </w:tc>
      </w:tr>
      <w:tr w:rsidR="00641DE4" w:rsidTr="0027110F">
        <w:trPr>
          <w:trHeight w:val="1016"/>
        </w:trPr>
        <w:tc>
          <w:tcPr>
            <w:tcW w:w="2694" w:type="dxa"/>
            <w:tcBorders>
              <w:top w:val="nil"/>
              <w:left w:val="nil"/>
              <w:bottom w:val="double" w:sz="6" w:space="0" w:color="auto"/>
              <w:right w:val="nil"/>
            </w:tcBorders>
            <w:vAlign w:val="center"/>
            <w:hideMark/>
          </w:tcPr>
          <w:p w:rsidR="00641DE4" w:rsidRDefault="00641DE4">
            <w:pPr>
              <w:spacing w:line="276" w:lineRule="auto"/>
              <w:jc w:val="left"/>
              <w:rPr>
                <w:b/>
                <w:color w:val="000000"/>
                <w:lang w:eastAsia="en-US"/>
              </w:rPr>
            </w:pPr>
            <w:r>
              <w:rPr>
                <w:b/>
                <w:color w:val="000000"/>
                <w:sz w:val="22"/>
                <w:szCs w:val="22"/>
                <w:lang w:eastAsia="en-US"/>
              </w:rPr>
              <w:t>Έκτακτες Επιθεωρήσεις για διερευνήσεις λόγω καταγγελιών</w:t>
            </w:r>
          </w:p>
        </w:tc>
        <w:tc>
          <w:tcPr>
            <w:tcW w:w="1275"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10</w:t>
            </w:r>
          </w:p>
        </w:tc>
        <w:tc>
          <w:tcPr>
            <w:tcW w:w="1276"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val="en-GB" w:eastAsia="en-US"/>
              </w:rPr>
              <w:t>5</w:t>
            </w:r>
          </w:p>
        </w:tc>
        <w:tc>
          <w:tcPr>
            <w:tcW w:w="1275"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16</w:t>
            </w:r>
          </w:p>
        </w:tc>
        <w:tc>
          <w:tcPr>
            <w:tcW w:w="1276" w:type="dxa"/>
            <w:tcBorders>
              <w:top w:val="nil"/>
              <w:left w:val="nil"/>
              <w:bottom w:val="double" w:sz="6" w:space="0" w:color="auto"/>
              <w:right w:val="nil"/>
            </w:tcBorders>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10</w:t>
            </w:r>
          </w:p>
        </w:tc>
        <w:tc>
          <w:tcPr>
            <w:tcW w:w="1276" w:type="dxa"/>
            <w:tcBorders>
              <w:top w:val="nil"/>
              <w:left w:val="nil"/>
              <w:bottom w:val="double" w:sz="6" w:space="0" w:color="auto"/>
              <w:right w:val="nil"/>
            </w:tcBorders>
            <w:vAlign w:val="center"/>
            <w:hideMark/>
          </w:tcPr>
          <w:p w:rsidR="00641DE4" w:rsidRDefault="00641DE4">
            <w:pPr>
              <w:spacing w:line="276" w:lineRule="auto"/>
              <w:jc w:val="center"/>
              <w:rPr>
                <w:color w:val="000000"/>
                <w:sz w:val="20"/>
                <w:szCs w:val="20"/>
                <w:lang w:eastAsia="en-US"/>
              </w:rPr>
            </w:pPr>
            <w:r>
              <w:rPr>
                <w:bCs/>
                <w:color w:val="000000"/>
                <w:sz w:val="20"/>
                <w:szCs w:val="22"/>
                <w:lang w:eastAsia="en-US"/>
              </w:rPr>
              <w:t>10</w:t>
            </w:r>
          </w:p>
        </w:tc>
      </w:tr>
    </w:tbl>
    <w:p w:rsidR="00D706E2" w:rsidRDefault="00641DE4" w:rsidP="00D706E2">
      <w:pPr>
        <w:pStyle w:val="TOC1"/>
        <w:rPr>
          <w:lang w:val="en-US"/>
        </w:rPr>
      </w:pPr>
      <w:r>
        <w:t xml:space="preserve"> </w:t>
      </w:r>
    </w:p>
    <w:p w:rsidR="00641DE4" w:rsidRPr="00D706E2" w:rsidRDefault="00641DE4" w:rsidP="00D706E2">
      <w:pPr>
        <w:pStyle w:val="TOC1"/>
      </w:pPr>
      <w:r>
        <w:rPr>
          <w:b/>
        </w:rPr>
        <w:t xml:space="preserve">Διάγραμμα </w:t>
      </w:r>
      <w:r w:rsidR="002D183B">
        <w:rPr>
          <w:b/>
          <w:iCs/>
          <w:lang w:eastAsia="en-US"/>
        </w:rPr>
        <w:t>1.2.2.6</w:t>
      </w:r>
      <w:r>
        <w:rPr>
          <w:b/>
          <w:lang w:val="en-US"/>
        </w:rPr>
        <w:t>.</w:t>
      </w:r>
      <w:r>
        <w:rPr>
          <w:b/>
        </w:rPr>
        <w:t>α: Επιθεωρήσεις</w:t>
      </w:r>
    </w:p>
    <w:p w:rsidR="0027110F" w:rsidRDefault="00641DE4" w:rsidP="0027110F">
      <w:pPr>
        <w:spacing w:before="240"/>
        <w:rPr>
          <w:noProof/>
          <w:lang w:eastAsia="en-US"/>
        </w:rPr>
      </w:pPr>
      <w:r>
        <w:rPr>
          <w:noProof/>
          <w:lang w:val="en-US" w:eastAsia="en-US"/>
        </w:rPr>
        <w:drawing>
          <wp:inline distT="0" distB="0" distL="0" distR="0">
            <wp:extent cx="5710517" cy="2617694"/>
            <wp:effectExtent l="0" t="0" r="2413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DE4" w:rsidRDefault="00641DE4" w:rsidP="0027110F">
      <w:pPr>
        <w:spacing w:before="240" w:after="240"/>
      </w:pPr>
      <w:r>
        <w:lastRenderedPageBreak/>
        <w:t>Το Τμήμα  Επιθεώρησης  Κανόνων Καλής Παρασκευής και Διανομής, μετά από επιθεώρηση εκδίδει πιστοποιητικά ΚΟΠΠ (GMP Certificate) και ενημερώνει αντίστοιχα την Ευρωπαϊκή βάση πληροφοριών EudraGMP, στην οποία έχουν πρόσβαση οι υπόλοιπες ευρωπαϊκές αρχές επιθεώρησης. Επίσης, γίνονται εισηγήσεις στο Συμβούλιο Φαρμάκων για εκδόσεις/ ανανεώσεις αδειών παρασκευής, χονδρικής πώλησης και εισαγωγής από Τρίτες Χώρες.</w:t>
      </w:r>
    </w:p>
    <w:tbl>
      <w:tblPr>
        <w:tblW w:w="9121" w:type="dxa"/>
        <w:tblInd w:w="108" w:type="dxa"/>
        <w:tblLook w:val="04A0"/>
      </w:tblPr>
      <w:tblGrid>
        <w:gridCol w:w="3969"/>
        <w:gridCol w:w="1030"/>
        <w:gridCol w:w="1030"/>
        <w:gridCol w:w="1031"/>
        <w:gridCol w:w="1030"/>
        <w:gridCol w:w="1031"/>
      </w:tblGrid>
      <w:tr w:rsidR="00641DE4" w:rsidTr="0027110F">
        <w:trPr>
          <w:trHeight w:val="315"/>
        </w:trPr>
        <w:tc>
          <w:tcPr>
            <w:tcW w:w="9121" w:type="dxa"/>
            <w:gridSpan w:val="6"/>
            <w:tcBorders>
              <w:top w:val="nil"/>
              <w:left w:val="nil"/>
              <w:bottom w:val="double" w:sz="6" w:space="0" w:color="auto"/>
              <w:right w:val="nil"/>
            </w:tcBorders>
            <w:noWrap/>
            <w:vAlign w:val="center"/>
            <w:hideMark/>
          </w:tcPr>
          <w:p w:rsidR="00641DE4" w:rsidRDefault="00641DE4">
            <w:pPr>
              <w:spacing w:line="276" w:lineRule="auto"/>
              <w:jc w:val="left"/>
              <w:rPr>
                <w:b/>
                <w:lang w:eastAsia="en-US"/>
              </w:rPr>
            </w:pPr>
            <w:r>
              <w:rPr>
                <w:b/>
                <w:lang w:eastAsia="en-US"/>
              </w:rPr>
              <w:t xml:space="preserve">Πίνακας </w:t>
            </w:r>
            <w:r w:rsidR="002D183B">
              <w:rPr>
                <w:b/>
                <w:iCs/>
                <w:lang w:eastAsia="en-US"/>
              </w:rPr>
              <w:t>1.2.2.6</w:t>
            </w:r>
            <w:r>
              <w:rPr>
                <w:b/>
                <w:lang w:eastAsia="en-US"/>
              </w:rPr>
              <w:t>.β: Εκδόσεις /Ανανεώσεις Αδειών/Πιστοποιητικών</w:t>
            </w:r>
          </w:p>
        </w:tc>
      </w:tr>
      <w:tr w:rsidR="00641DE4" w:rsidTr="0027110F">
        <w:trPr>
          <w:trHeight w:val="557"/>
        </w:trPr>
        <w:tc>
          <w:tcPr>
            <w:tcW w:w="3969" w:type="dxa"/>
            <w:tcBorders>
              <w:top w:val="nil"/>
              <w:left w:val="nil"/>
              <w:bottom w:val="single" w:sz="4" w:space="0" w:color="auto"/>
              <w:right w:val="nil"/>
            </w:tcBorders>
            <w:vAlign w:val="center"/>
            <w:hideMark/>
          </w:tcPr>
          <w:p w:rsidR="00641DE4" w:rsidRDefault="00641DE4">
            <w:pPr>
              <w:spacing w:line="276" w:lineRule="auto"/>
              <w:jc w:val="left"/>
              <w:rPr>
                <w:b/>
                <w:lang w:eastAsia="en-US"/>
              </w:rPr>
            </w:pPr>
            <w:r>
              <w:rPr>
                <w:b/>
                <w:sz w:val="22"/>
                <w:lang w:eastAsia="en-US"/>
              </w:rPr>
              <w:t>Εκδόσεις /Ανανεώσεις Αδειών</w:t>
            </w:r>
          </w:p>
        </w:tc>
        <w:tc>
          <w:tcPr>
            <w:tcW w:w="1030"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2008</w:t>
            </w:r>
          </w:p>
        </w:tc>
        <w:tc>
          <w:tcPr>
            <w:tcW w:w="1030"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2009</w:t>
            </w:r>
          </w:p>
        </w:tc>
        <w:tc>
          <w:tcPr>
            <w:tcW w:w="1031"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2010</w:t>
            </w:r>
          </w:p>
        </w:tc>
        <w:tc>
          <w:tcPr>
            <w:tcW w:w="1030"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2011</w:t>
            </w:r>
          </w:p>
        </w:tc>
        <w:tc>
          <w:tcPr>
            <w:tcW w:w="1031"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2012</w:t>
            </w:r>
          </w:p>
        </w:tc>
      </w:tr>
      <w:tr w:rsidR="00641DE4" w:rsidTr="0027110F">
        <w:trPr>
          <w:trHeight w:val="491"/>
        </w:trPr>
        <w:tc>
          <w:tcPr>
            <w:tcW w:w="3969" w:type="dxa"/>
            <w:tcBorders>
              <w:top w:val="single" w:sz="4" w:space="0" w:color="auto"/>
              <w:left w:val="nil"/>
              <w:bottom w:val="nil"/>
              <w:right w:val="nil"/>
            </w:tcBorders>
            <w:vAlign w:val="center"/>
            <w:hideMark/>
          </w:tcPr>
          <w:p w:rsidR="00641DE4" w:rsidRDefault="00641DE4">
            <w:pPr>
              <w:spacing w:line="276" w:lineRule="auto"/>
              <w:jc w:val="left"/>
              <w:rPr>
                <w:b/>
                <w:sz w:val="20"/>
                <w:lang w:eastAsia="en-US"/>
              </w:rPr>
            </w:pPr>
            <w:r>
              <w:rPr>
                <w:b/>
                <w:sz w:val="20"/>
                <w:lang w:eastAsia="en-US"/>
              </w:rPr>
              <w:t>Έκδοση Αδειών Χονδρικής Πώλησης.</w:t>
            </w:r>
          </w:p>
        </w:tc>
        <w:tc>
          <w:tcPr>
            <w:tcW w:w="1030" w:type="dxa"/>
            <w:tcBorders>
              <w:top w:val="single" w:sz="4" w:space="0" w:color="auto"/>
              <w:left w:val="nil"/>
              <w:bottom w:val="nil"/>
              <w:right w:val="nil"/>
            </w:tcBorders>
            <w:vAlign w:val="center"/>
            <w:hideMark/>
          </w:tcPr>
          <w:p w:rsidR="00641DE4" w:rsidRDefault="00641DE4">
            <w:pPr>
              <w:spacing w:line="276" w:lineRule="auto"/>
              <w:jc w:val="center"/>
              <w:rPr>
                <w:sz w:val="20"/>
                <w:lang w:eastAsia="en-US"/>
              </w:rPr>
            </w:pPr>
            <w:r>
              <w:rPr>
                <w:sz w:val="20"/>
                <w:lang w:eastAsia="en-US"/>
              </w:rPr>
              <w:t>3</w:t>
            </w:r>
          </w:p>
        </w:tc>
        <w:tc>
          <w:tcPr>
            <w:tcW w:w="1030" w:type="dxa"/>
            <w:tcBorders>
              <w:top w:val="single" w:sz="4" w:space="0" w:color="auto"/>
              <w:left w:val="nil"/>
              <w:bottom w:val="nil"/>
              <w:right w:val="nil"/>
            </w:tcBorders>
            <w:vAlign w:val="center"/>
            <w:hideMark/>
          </w:tcPr>
          <w:p w:rsidR="00641DE4" w:rsidRDefault="00641DE4">
            <w:pPr>
              <w:spacing w:line="276" w:lineRule="auto"/>
              <w:jc w:val="center"/>
              <w:rPr>
                <w:sz w:val="20"/>
                <w:lang w:eastAsia="en-US"/>
              </w:rPr>
            </w:pPr>
            <w:r>
              <w:rPr>
                <w:sz w:val="20"/>
                <w:lang w:eastAsia="en-US"/>
              </w:rPr>
              <w:t>2</w:t>
            </w:r>
          </w:p>
        </w:tc>
        <w:tc>
          <w:tcPr>
            <w:tcW w:w="1031" w:type="dxa"/>
            <w:tcBorders>
              <w:top w:val="single" w:sz="4" w:space="0" w:color="auto"/>
              <w:left w:val="nil"/>
              <w:bottom w:val="nil"/>
              <w:right w:val="nil"/>
            </w:tcBorders>
            <w:vAlign w:val="center"/>
            <w:hideMark/>
          </w:tcPr>
          <w:p w:rsidR="00641DE4" w:rsidRDefault="00641DE4">
            <w:pPr>
              <w:spacing w:line="276" w:lineRule="auto"/>
              <w:jc w:val="center"/>
              <w:rPr>
                <w:sz w:val="20"/>
                <w:lang w:eastAsia="en-US"/>
              </w:rPr>
            </w:pPr>
            <w:r>
              <w:rPr>
                <w:sz w:val="20"/>
                <w:lang w:eastAsia="en-US"/>
              </w:rPr>
              <w:t>5</w:t>
            </w:r>
          </w:p>
        </w:tc>
        <w:tc>
          <w:tcPr>
            <w:tcW w:w="1030" w:type="dxa"/>
            <w:tcBorders>
              <w:top w:val="single" w:sz="4" w:space="0" w:color="auto"/>
              <w:left w:val="nil"/>
              <w:bottom w:val="nil"/>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8</w:t>
            </w:r>
          </w:p>
        </w:tc>
        <w:tc>
          <w:tcPr>
            <w:tcW w:w="1031" w:type="dxa"/>
            <w:tcBorders>
              <w:top w:val="single" w:sz="4" w:space="0" w:color="auto"/>
              <w:left w:val="nil"/>
              <w:bottom w:val="nil"/>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6</w:t>
            </w:r>
          </w:p>
        </w:tc>
      </w:tr>
      <w:tr w:rsidR="00641DE4" w:rsidTr="0027110F">
        <w:trPr>
          <w:trHeight w:val="330"/>
        </w:trPr>
        <w:tc>
          <w:tcPr>
            <w:tcW w:w="3969" w:type="dxa"/>
            <w:vAlign w:val="center"/>
            <w:hideMark/>
          </w:tcPr>
          <w:p w:rsidR="00641DE4" w:rsidRDefault="00641DE4">
            <w:pPr>
              <w:spacing w:line="276" w:lineRule="auto"/>
              <w:jc w:val="left"/>
              <w:rPr>
                <w:b/>
                <w:sz w:val="20"/>
                <w:lang w:eastAsia="en-US"/>
              </w:rPr>
            </w:pPr>
            <w:r>
              <w:rPr>
                <w:b/>
                <w:sz w:val="20"/>
                <w:lang w:eastAsia="en-US"/>
              </w:rPr>
              <w:t>Ανανέωση Αδειών Χονδρικής Πώλησης</w:t>
            </w:r>
          </w:p>
        </w:tc>
        <w:tc>
          <w:tcPr>
            <w:tcW w:w="1030" w:type="dxa"/>
            <w:vAlign w:val="center"/>
            <w:hideMark/>
          </w:tcPr>
          <w:p w:rsidR="00641DE4" w:rsidRDefault="00641DE4">
            <w:pPr>
              <w:spacing w:line="276" w:lineRule="auto"/>
              <w:jc w:val="center"/>
              <w:rPr>
                <w:sz w:val="20"/>
                <w:lang w:eastAsia="en-US"/>
              </w:rPr>
            </w:pPr>
            <w:r>
              <w:rPr>
                <w:sz w:val="20"/>
                <w:lang w:eastAsia="en-US"/>
              </w:rPr>
              <w:t>11</w:t>
            </w:r>
          </w:p>
        </w:tc>
        <w:tc>
          <w:tcPr>
            <w:tcW w:w="1030" w:type="dxa"/>
            <w:vAlign w:val="center"/>
            <w:hideMark/>
          </w:tcPr>
          <w:p w:rsidR="00641DE4" w:rsidRDefault="00641DE4">
            <w:pPr>
              <w:spacing w:line="276" w:lineRule="auto"/>
              <w:jc w:val="center"/>
              <w:rPr>
                <w:sz w:val="20"/>
                <w:lang w:eastAsia="en-US"/>
              </w:rPr>
            </w:pPr>
            <w:r>
              <w:rPr>
                <w:sz w:val="20"/>
                <w:lang w:eastAsia="en-US"/>
              </w:rPr>
              <w:t>17</w:t>
            </w:r>
          </w:p>
        </w:tc>
        <w:tc>
          <w:tcPr>
            <w:tcW w:w="1031" w:type="dxa"/>
            <w:vAlign w:val="center"/>
            <w:hideMark/>
          </w:tcPr>
          <w:p w:rsidR="00641DE4" w:rsidRDefault="00641DE4">
            <w:pPr>
              <w:spacing w:line="276" w:lineRule="auto"/>
              <w:jc w:val="center"/>
              <w:rPr>
                <w:sz w:val="20"/>
                <w:lang w:eastAsia="en-US"/>
              </w:rPr>
            </w:pPr>
            <w:r>
              <w:rPr>
                <w:sz w:val="20"/>
                <w:lang w:eastAsia="en-US"/>
              </w:rPr>
              <w:t>17</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9</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4</w:t>
            </w:r>
          </w:p>
        </w:tc>
      </w:tr>
      <w:tr w:rsidR="00641DE4" w:rsidTr="0027110F">
        <w:trPr>
          <w:trHeight w:val="432"/>
        </w:trPr>
        <w:tc>
          <w:tcPr>
            <w:tcW w:w="3969" w:type="dxa"/>
            <w:vAlign w:val="center"/>
            <w:hideMark/>
          </w:tcPr>
          <w:p w:rsidR="00641DE4" w:rsidRDefault="00641DE4">
            <w:pPr>
              <w:spacing w:line="276" w:lineRule="auto"/>
              <w:jc w:val="left"/>
              <w:rPr>
                <w:b/>
                <w:sz w:val="20"/>
                <w:lang w:eastAsia="en-US"/>
              </w:rPr>
            </w:pPr>
            <w:r>
              <w:rPr>
                <w:b/>
                <w:sz w:val="20"/>
                <w:lang w:eastAsia="en-US"/>
              </w:rPr>
              <w:t>Τροποποίηση Αδειών Χονδρικής Πώλησης</w:t>
            </w:r>
          </w:p>
        </w:tc>
        <w:tc>
          <w:tcPr>
            <w:tcW w:w="1030" w:type="dxa"/>
            <w:vAlign w:val="center"/>
            <w:hideMark/>
          </w:tcPr>
          <w:p w:rsidR="00641DE4" w:rsidRDefault="00641DE4">
            <w:pPr>
              <w:spacing w:line="276" w:lineRule="auto"/>
              <w:jc w:val="center"/>
              <w:rPr>
                <w:sz w:val="20"/>
                <w:lang w:eastAsia="en-US"/>
              </w:rPr>
            </w:pPr>
            <w:r>
              <w:rPr>
                <w:sz w:val="20"/>
                <w:lang w:eastAsia="en-US"/>
              </w:rPr>
              <w:t>2</w:t>
            </w:r>
          </w:p>
        </w:tc>
        <w:tc>
          <w:tcPr>
            <w:tcW w:w="1030" w:type="dxa"/>
            <w:vAlign w:val="center"/>
            <w:hideMark/>
          </w:tcPr>
          <w:p w:rsidR="00641DE4" w:rsidRDefault="00641DE4">
            <w:pPr>
              <w:spacing w:line="276" w:lineRule="auto"/>
              <w:jc w:val="center"/>
              <w:rPr>
                <w:sz w:val="20"/>
                <w:lang w:eastAsia="en-US"/>
              </w:rPr>
            </w:pPr>
            <w:r>
              <w:rPr>
                <w:sz w:val="20"/>
                <w:lang w:eastAsia="en-US"/>
              </w:rPr>
              <w:t>2</w:t>
            </w:r>
          </w:p>
        </w:tc>
        <w:tc>
          <w:tcPr>
            <w:tcW w:w="1031" w:type="dxa"/>
            <w:vAlign w:val="center"/>
            <w:hideMark/>
          </w:tcPr>
          <w:p w:rsidR="00641DE4" w:rsidRDefault="00641DE4">
            <w:pPr>
              <w:spacing w:line="276" w:lineRule="auto"/>
              <w:jc w:val="center"/>
              <w:rPr>
                <w:sz w:val="20"/>
                <w:lang w:eastAsia="en-US"/>
              </w:rPr>
            </w:pPr>
            <w:r>
              <w:rPr>
                <w:sz w:val="20"/>
                <w:lang w:eastAsia="en-US"/>
              </w:rPr>
              <w:t>1</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3</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r>
      <w:tr w:rsidR="00641DE4" w:rsidTr="0027110F">
        <w:trPr>
          <w:trHeight w:val="439"/>
        </w:trPr>
        <w:tc>
          <w:tcPr>
            <w:tcW w:w="3969" w:type="dxa"/>
            <w:vAlign w:val="center"/>
            <w:hideMark/>
          </w:tcPr>
          <w:p w:rsidR="00641DE4" w:rsidRDefault="00641DE4">
            <w:pPr>
              <w:spacing w:line="276" w:lineRule="auto"/>
              <w:jc w:val="left"/>
              <w:rPr>
                <w:b/>
                <w:sz w:val="20"/>
                <w:lang w:eastAsia="en-US"/>
              </w:rPr>
            </w:pPr>
            <w:r>
              <w:rPr>
                <w:b/>
                <w:sz w:val="20"/>
                <w:lang w:eastAsia="en-US"/>
              </w:rPr>
              <w:t>Ανανέωση Αδειών Παρασκευής</w:t>
            </w:r>
          </w:p>
        </w:tc>
        <w:tc>
          <w:tcPr>
            <w:tcW w:w="1030" w:type="dxa"/>
            <w:vAlign w:val="center"/>
            <w:hideMark/>
          </w:tcPr>
          <w:p w:rsidR="00641DE4" w:rsidRDefault="00641DE4">
            <w:pPr>
              <w:spacing w:line="276" w:lineRule="auto"/>
              <w:jc w:val="center"/>
              <w:rPr>
                <w:sz w:val="20"/>
                <w:lang w:eastAsia="en-US"/>
              </w:rPr>
            </w:pPr>
            <w:r>
              <w:rPr>
                <w:sz w:val="20"/>
                <w:lang w:eastAsia="en-US"/>
              </w:rPr>
              <w:t>1</w:t>
            </w:r>
          </w:p>
        </w:tc>
        <w:tc>
          <w:tcPr>
            <w:tcW w:w="1030" w:type="dxa"/>
            <w:vAlign w:val="center"/>
            <w:hideMark/>
          </w:tcPr>
          <w:p w:rsidR="00641DE4" w:rsidRDefault="00641DE4">
            <w:pPr>
              <w:spacing w:line="276" w:lineRule="auto"/>
              <w:jc w:val="center"/>
              <w:rPr>
                <w:sz w:val="20"/>
                <w:lang w:eastAsia="en-US"/>
              </w:rPr>
            </w:pPr>
            <w:r>
              <w:rPr>
                <w:sz w:val="20"/>
                <w:lang w:eastAsia="en-US"/>
              </w:rPr>
              <w:t>2</w:t>
            </w:r>
          </w:p>
        </w:tc>
        <w:tc>
          <w:tcPr>
            <w:tcW w:w="1031" w:type="dxa"/>
            <w:vAlign w:val="center"/>
            <w:hideMark/>
          </w:tcPr>
          <w:p w:rsidR="00641DE4" w:rsidRDefault="00641DE4">
            <w:pPr>
              <w:spacing w:line="276" w:lineRule="auto"/>
              <w:jc w:val="center"/>
              <w:rPr>
                <w:sz w:val="20"/>
                <w:lang w:eastAsia="en-US"/>
              </w:rPr>
            </w:pPr>
            <w:r>
              <w:rPr>
                <w:sz w:val="20"/>
                <w:lang w:eastAsia="en-US"/>
              </w:rPr>
              <w:t>3</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1</w:t>
            </w:r>
          </w:p>
        </w:tc>
      </w:tr>
      <w:tr w:rsidR="00641DE4" w:rsidTr="0027110F">
        <w:trPr>
          <w:trHeight w:val="417"/>
        </w:trPr>
        <w:tc>
          <w:tcPr>
            <w:tcW w:w="3969" w:type="dxa"/>
            <w:vAlign w:val="center"/>
            <w:hideMark/>
          </w:tcPr>
          <w:p w:rsidR="00641DE4" w:rsidRDefault="00641DE4">
            <w:pPr>
              <w:spacing w:line="276" w:lineRule="auto"/>
              <w:jc w:val="left"/>
              <w:rPr>
                <w:b/>
                <w:sz w:val="20"/>
                <w:lang w:eastAsia="en-US"/>
              </w:rPr>
            </w:pPr>
            <w:r>
              <w:rPr>
                <w:b/>
                <w:sz w:val="20"/>
                <w:lang w:eastAsia="en-US"/>
              </w:rPr>
              <w:t>Τροποποίηση Άδειών Παρασκευής</w:t>
            </w:r>
          </w:p>
        </w:tc>
        <w:tc>
          <w:tcPr>
            <w:tcW w:w="1030" w:type="dxa"/>
            <w:vAlign w:val="center"/>
            <w:hideMark/>
          </w:tcPr>
          <w:p w:rsidR="00641DE4" w:rsidRDefault="00641DE4">
            <w:pPr>
              <w:spacing w:line="276" w:lineRule="auto"/>
              <w:jc w:val="center"/>
              <w:rPr>
                <w:sz w:val="20"/>
                <w:lang w:eastAsia="en-US"/>
              </w:rPr>
            </w:pPr>
            <w:r>
              <w:rPr>
                <w:sz w:val="20"/>
                <w:lang w:eastAsia="en-US"/>
              </w:rPr>
              <w:t>0</w:t>
            </w:r>
          </w:p>
        </w:tc>
        <w:tc>
          <w:tcPr>
            <w:tcW w:w="1030" w:type="dxa"/>
            <w:vAlign w:val="center"/>
            <w:hideMark/>
          </w:tcPr>
          <w:p w:rsidR="00641DE4" w:rsidRDefault="00641DE4">
            <w:pPr>
              <w:spacing w:line="276" w:lineRule="auto"/>
              <w:jc w:val="center"/>
              <w:rPr>
                <w:sz w:val="20"/>
                <w:lang w:eastAsia="en-US"/>
              </w:rPr>
            </w:pPr>
            <w:r>
              <w:rPr>
                <w:sz w:val="20"/>
                <w:lang w:eastAsia="en-US"/>
              </w:rPr>
              <w:t>2</w:t>
            </w:r>
          </w:p>
        </w:tc>
        <w:tc>
          <w:tcPr>
            <w:tcW w:w="1031" w:type="dxa"/>
            <w:vAlign w:val="center"/>
            <w:hideMark/>
          </w:tcPr>
          <w:p w:rsidR="00641DE4" w:rsidRDefault="00641DE4">
            <w:pPr>
              <w:spacing w:line="276" w:lineRule="auto"/>
              <w:jc w:val="center"/>
              <w:rPr>
                <w:sz w:val="20"/>
                <w:lang w:eastAsia="en-US"/>
              </w:rPr>
            </w:pPr>
            <w:r>
              <w:rPr>
                <w:sz w:val="20"/>
                <w:lang w:eastAsia="en-US"/>
              </w:rPr>
              <w:t>5</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1</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4</w:t>
            </w:r>
          </w:p>
        </w:tc>
      </w:tr>
      <w:tr w:rsidR="00641DE4" w:rsidTr="0027110F">
        <w:trPr>
          <w:trHeight w:val="267"/>
        </w:trPr>
        <w:tc>
          <w:tcPr>
            <w:tcW w:w="3969" w:type="dxa"/>
            <w:vAlign w:val="center"/>
            <w:hideMark/>
          </w:tcPr>
          <w:p w:rsidR="00641DE4" w:rsidRDefault="00641DE4">
            <w:pPr>
              <w:spacing w:line="276" w:lineRule="auto"/>
              <w:jc w:val="left"/>
              <w:rPr>
                <w:b/>
                <w:sz w:val="20"/>
                <w:lang w:eastAsia="en-US"/>
              </w:rPr>
            </w:pPr>
            <w:r>
              <w:rPr>
                <w:b/>
                <w:sz w:val="20"/>
                <w:lang w:eastAsia="en-US"/>
              </w:rPr>
              <w:t>Έκδοση Αδειών Μερικής Παρασκευής.</w:t>
            </w:r>
          </w:p>
        </w:tc>
        <w:tc>
          <w:tcPr>
            <w:tcW w:w="1030" w:type="dxa"/>
            <w:vAlign w:val="center"/>
            <w:hideMark/>
          </w:tcPr>
          <w:p w:rsidR="00641DE4" w:rsidRDefault="00641DE4">
            <w:pPr>
              <w:spacing w:line="276" w:lineRule="auto"/>
              <w:jc w:val="center"/>
              <w:rPr>
                <w:sz w:val="20"/>
                <w:lang w:eastAsia="en-US"/>
              </w:rPr>
            </w:pPr>
            <w:r>
              <w:rPr>
                <w:sz w:val="20"/>
                <w:lang w:eastAsia="en-US"/>
              </w:rPr>
              <w:t>0</w:t>
            </w:r>
          </w:p>
        </w:tc>
        <w:tc>
          <w:tcPr>
            <w:tcW w:w="1030" w:type="dxa"/>
            <w:vAlign w:val="center"/>
            <w:hideMark/>
          </w:tcPr>
          <w:p w:rsidR="00641DE4" w:rsidRDefault="00641DE4">
            <w:pPr>
              <w:spacing w:line="276" w:lineRule="auto"/>
              <w:jc w:val="center"/>
              <w:rPr>
                <w:sz w:val="20"/>
                <w:lang w:eastAsia="en-US"/>
              </w:rPr>
            </w:pPr>
            <w:r>
              <w:rPr>
                <w:sz w:val="20"/>
                <w:lang w:eastAsia="en-US"/>
              </w:rPr>
              <w:t>1</w:t>
            </w:r>
          </w:p>
        </w:tc>
        <w:tc>
          <w:tcPr>
            <w:tcW w:w="1031" w:type="dxa"/>
            <w:vAlign w:val="center"/>
            <w:hideMark/>
          </w:tcPr>
          <w:p w:rsidR="00641DE4" w:rsidRDefault="00641DE4">
            <w:pPr>
              <w:spacing w:line="276" w:lineRule="auto"/>
              <w:jc w:val="center"/>
              <w:rPr>
                <w:sz w:val="20"/>
                <w:lang w:eastAsia="en-US"/>
              </w:rPr>
            </w:pPr>
            <w:r>
              <w:rPr>
                <w:sz w:val="20"/>
                <w:lang w:eastAsia="en-US"/>
              </w:rPr>
              <w:t>0</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1</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r>
      <w:tr w:rsidR="00641DE4" w:rsidTr="0027110F">
        <w:trPr>
          <w:trHeight w:val="498"/>
        </w:trPr>
        <w:tc>
          <w:tcPr>
            <w:tcW w:w="3969" w:type="dxa"/>
            <w:vAlign w:val="center"/>
            <w:hideMark/>
          </w:tcPr>
          <w:p w:rsidR="00641DE4" w:rsidRDefault="00641DE4">
            <w:pPr>
              <w:spacing w:line="276" w:lineRule="auto"/>
              <w:jc w:val="left"/>
              <w:rPr>
                <w:b/>
                <w:sz w:val="20"/>
                <w:lang w:eastAsia="en-US"/>
              </w:rPr>
            </w:pPr>
            <w:r>
              <w:rPr>
                <w:b/>
                <w:sz w:val="20"/>
                <w:lang w:eastAsia="en-US"/>
              </w:rPr>
              <w:t>Ανανέωση Άδειών Εισαγωγής από Τρίτες Χώρες</w:t>
            </w:r>
          </w:p>
        </w:tc>
        <w:tc>
          <w:tcPr>
            <w:tcW w:w="1030" w:type="dxa"/>
            <w:vAlign w:val="center"/>
            <w:hideMark/>
          </w:tcPr>
          <w:p w:rsidR="00641DE4" w:rsidRDefault="00641DE4">
            <w:pPr>
              <w:spacing w:line="276" w:lineRule="auto"/>
              <w:jc w:val="center"/>
              <w:rPr>
                <w:sz w:val="20"/>
                <w:lang w:eastAsia="en-US"/>
              </w:rPr>
            </w:pPr>
            <w:r>
              <w:rPr>
                <w:sz w:val="20"/>
                <w:lang w:eastAsia="en-US"/>
              </w:rPr>
              <w:t>4</w:t>
            </w:r>
          </w:p>
        </w:tc>
        <w:tc>
          <w:tcPr>
            <w:tcW w:w="1030" w:type="dxa"/>
            <w:vAlign w:val="center"/>
            <w:hideMark/>
          </w:tcPr>
          <w:p w:rsidR="00641DE4" w:rsidRDefault="00641DE4">
            <w:pPr>
              <w:spacing w:line="276" w:lineRule="auto"/>
              <w:jc w:val="center"/>
              <w:rPr>
                <w:sz w:val="20"/>
                <w:lang w:eastAsia="en-US"/>
              </w:rPr>
            </w:pPr>
            <w:r>
              <w:rPr>
                <w:sz w:val="20"/>
                <w:lang w:eastAsia="en-US"/>
              </w:rPr>
              <w:t>2</w:t>
            </w:r>
          </w:p>
        </w:tc>
        <w:tc>
          <w:tcPr>
            <w:tcW w:w="1031" w:type="dxa"/>
            <w:vAlign w:val="center"/>
            <w:hideMark/>
          </w:tcPr>
          <w:p w:rsidR="00641DE4" w:rsidRDefault="00641DE4">
            <w:pPr>
              <w:spacing w:line="276" w:lineRule="auto"/>
              <w:jc w:val="center"/>
              <w:rPr>
                <w:sz w:val="20"/>
                <w:lang w:eastAsia="en-US"/>
              </w:rPr>
            </w:pPr>
            <w:r>
              <w:rPr>
                <w:sz w:val="20"/>
                <w:lang w:eastAsia="en-US"/>
              </w:rPr>
              <w:t>1</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7</w:t>
            </w:r>
          </w:p>
        </w:tc>
      </w:tr>
      <w:tr w:rsidR="00641DE4" w:rsidTr="0027110F">
        <w:trPr>
          <w:trHeight w:val="478"/>
        </w:trPr>
        <w:tc>
          <w:tcPr>
            <w:tcW w:w="3969" w:type="dxa"/>
            <w:vAlign w:val="center"/>
            <w:hideMark/>
          </w:tcPr>
          <w:p w:rsidR="00641DE4" w:rsidRDefault="00641DE4">
            <w:pPr>
              <w:spacing w:line="276" w:lineRule="auto"/>
              <w:jc w:val="left"/>
              <w:rPr>
                <w:b/>
                <w:sz w:val="20"/>
                <w:lang w:eastAsia="en-US"/>
              </w:rPr>
            </w:pPr>
            <w:r>
              <w:rPr>
                <w:b/>
                <w:sz w:val="20"/>
                <w:lang w:eastAsia="en-US"/>
              </w:rPr>
              <w:t>Τροποποίηση Άδειών Εισαγωγής από Τρίτες Χώρες</w:t>
            </w:r>
          </w:p>
        </w:tc>
        <w:tc>
          <w:tcPr>
            <w:tcW w:w="1030" w:type="dxa"/>
            <w:vAlign w:val="center"/>
            <w:hideMark/>
          </w:tcPr>
          <w:p w:rsidR="00641DE4" w:rsidRDefault="00641DE4">
            <w:pPr>
              <w:spacing w:line="276" w:lineRule="auto"/>
              <w:jc w:val="center"/>
              <w:rPr>
                <w:sz w:val="20"/>
                <w:lang w:eastAsia="en-US"/>
              </w:rPr>
            </w:pPr>
            <w:r>
              <w:rPr>
                <w:sz w:val="20"/>
                <w:lang w:eastAsia="en-US"/>
              </w:rPr>
              <w:t>0</w:t>
            </w:r>
          </w:p>
        </w:tc>
        <w:tc>
          <w:tcPr>
            <w:tcW w:w="1030" w:type="dxa"/>
            <w:vAlign w:val="center"/>
            <w:hideMark/>
          </w:tcPr>
          <w:p w:rsidR="00641DE4" w:rsidRDefault="00641DE4">
            <w:pPr>
              <w:spacing w:line="276" w:lineRule="auto"/>
              <w:jc w:val="center"/>
              <w:rPr>
                <w:sz w:val="20"/>
                <w:lang w:eastAsia="en-US"/>
              </w:rPr>
            </w:pPr>
            <w:r>
              <w:rPr>
                <w:sz w:val="20"/>
                <w:lang w:eastAsia="en-US"/>
              </w:rPr>
              <w:t>4</w:t>
            </w:r>
          </w:p>
        </w:tc>
        <w:tc>
          <w:tcPr>
            <w:tcW w:w="1031" w:type="dxa"/>
            <w:vAlign w:val="center"/>
            <w:hideMark/>
          </w:tcPr>
          <w:p w:rsidR="00641DE4" w:rsidRDefault="00641DE4">
            <w:pPr>
              <w:spacing w:line="276" w:lineRule="auto"/>
              <w:jc w:val="center"/>
              <w:rPr>
                <w:sz w:val="20"/>
                <w:lang w:eastAsia="en-US"/>
              </w:rPr>
            </w:pPr>
            <w:r>
              <w:rPr>
                <w:sz w:val="20"/>
                <w:lang w:eastAsia="en-US"/>
              </w:rPr>
              <w:t>1</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0</w:t>
            </w:r>
          </w:p>
        </w:tc>
        <w:tc>
          <w:tcPr>
            <w:tcW w:w="1031" w:type="dxa"/>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1</w:t>
            </w:r>
          </w:p>
        </w:tc>
      </w:tr>
      <w:tr w:rsidR="00641DE4" w:rsidTr="0027110F">
        <w:trPr>
          <w:trHeight w:val="331"/>
        </w:trPr>
        <w:tc>
          <w:tcPr>
            <w:tcW w:w="3969" w:type="dxa"/>
            <w:vAlign w:val="center"/>
            <w:hideMark/>
          </w:tcPr>
          <w:p w:rsidR="00641DE4" w:rsidRDefault="00641DE4">
            <w:pPr>
              <w:spacing w:line="276" w:lineRule="auto"/>
              <w:jc w:val="left"/>
              <w:rPr>
                <w:b/>
                <w:sz w:val="20"/>
                <w:lang w:eastAsia="en-US"/>
              </w:rPr>
            </w:pPr>
            <w:r>
              <w:rPr>
                <w:b/>
                <w:sz w:val="20"/>
                <w:lang w:eastAsia="en-US"/>
              </w:rPr>
              <w:t>Εγγραφή Ειδικευμένων προσώπων</w:t>
            </w:r>
          </w:p>
        </w:tc>
        <w:tc>
          <w:tcPr>
            <w:tcW w:w="1030" w:type="dxa"/>
            <w:vAlign w:val="center"/>
            <w:hideMark/>
          </w:tcPr>
          <w:p w:rsidR="00641DE4" w:rsidRDefault="00641DE4">
            <w:pPr>
              <w:spacing w:line="276" w:lineRule="auto"/>
              <w:jc w:val="center"/>
              <w:rPr>
                <w:sz w:val="20"/>
                <w:lang w:eastAsia="en-US"/>
              </w:rPr>
            </w:pPr>
            <w:r>
              <w:rPr>
                <w:sz w:val="20"/>
                <w:lang w:eastAsia="en-US"/>
              </w:rPr>
              <w:t>0</w:t>
            </w:r>
          </w:p>
        </w:tc>
        <w:tc>
          <w:tcPr>
            <w:tcW w:w="1030" w:type="dxa"/>
            <w:vAlign w:val="center"/>
            <w:hideMark/>
          </w:tcPr>
          <w:p w:rsidR="00641DE4" w:rsidRDefault="00641DE4">
            <w:pPr>
              <w:spacing w:line="276" w:lineRule="auto"/>
              <w:jc w:val="center"/>
              <w:rPr>
                <w:sz w:val="20"/>
                <w:lang w:eastAsia="en-US"/>
              </w:rPr>
            </w:pPr>
            <w:r>
              <w:rPr>
                <w:sz w:val="20"/>
                <w:lang w:eastAsia="en-US"/>
              </w:rPr>
              <w:t>4</w:t>
            </w:r>
          </w:p>
        </w:tc>
        <w:tc>
          <w:tcPr>
            <w:tcW w:w="1031" w:type="dxa"/>
            <w:vAlign w:val="center"/>
            <w:hideMark/>
          </w:tcPr>
          <w:p w:rsidR="00641DE4" w:rsidRDefault="00641DE4">
            <w:pPr>
              <w:spacing w:line="276" w:lineRule="auto"/>
              <w:jc w:val="center"/>
              <w:rPr>
                <w:sz w:val="20"/>
                <w:lang w:val="en-US" w:eastAsia="en-US"/>
              </w:rPr>
            </w:pPr>
            <w:r>
              <w:rPr>
                <w:sz w:val="20"/>
                <w:lang w:val="en-US" w:eastAsia="en-US"/>
              </w:rPr>
              <w:t>3</w:t>
            </w:r>
          </w:p>
        </w:tc>
        <w:tc>
          <w:tcPr>
            <w:tcW w:w="1030" w:type="dxa"/>
            <w:vAlign w:val="center"/>
            <w:hideMark/>
          </w:tcPr>
          <w:p w:rsidR="00641DE4" w:rsidRDefault="00641DE4">
            <w:pPr>
              <w:spacing w:line="276" w:lineRule="auto"/>
              <w:jc w:val="center"/>
              <w:rPr>
                <w:color w:val="000000"/>
                <w:sz w:val="20"/>
                <w:szCs w:val="20"/>
                <w:lang w:val="en-US" w:eastAsia="en-US"/>
              </w:rPr>
            </w:pPr>
            <w:r>
              <w:rPr>
                <w:color w:val="000000"/>
                <w:sz w:val="20"/>
                <w:szCs w:val="20"/>
                <w:lang w:val="en-US" w:eastAsia="en-US"/>
              </w:rPr>
              <w:t>1</w:t>
            </w:r>
          </w:p>
        </w:tc>
        <w:tc>
          <w:tcPr>
            <w:tcW w:w="1031" w:type="dxa"/>
            <w:vAlign w:val="center"/>
            <w:hideMark/>
          </w:tcPr>
          <w:p w:rsidR="00641DE4" w:rsidRDefault="00641DE4">
            <w:pPr>
              <w:spacing w:line="276" w:lineRule="auto"/>
              <w:jc w:val="center"/>
              <w:rPr>
                <w:color w:val="000000"/>
                <w:sz w:val="20"/>
                <w:szCs w:val="20"/>
                <w:lang w:val="en-US" w:eastAsia="en-US"/>
              </w:rPr>
            </w:pPr>
            <w:r>
              <w:rPr>
                <w:color w:val="000000"/>
                <w:sz w:val="20"/>
                <w:szCs w:val="20"/>
                <w:lang w:val="en-US" w:eastAsia="en-US"/>
              </w:rPr>
              <w:t>4</w:t>
            </w:r>
          </w:p>
        </w:tc>
      </w:tr>
      <w:tr w:rsidR="00641DE4" w:rsidTr="0027110F">
        <w:trPr>
          <w:trHeight w:val="426"/>
        </w:trPr>
        <w:tc>
          <w:tcPr>
            <w:tcW w:w="3969" w:type="dxa"/>
            <w:vAlign w:val="center"/>
            <w:hideMark/>
          </w:tcPr>
          <w:p w:rsidR="00641DE4" w:rsidRDefault="00641DE4">
            <w:pPr>
              <w:spacing w:line="276" w:lineRule="auto"/>
              <w:jc w:val="left"/>
              <w:rPr>
                <w:b/>
                <w:sz w:val="20"/>
                <w:lang w:eastAsia="en-US"/>
              </w:rPr>
            </w:pPr>
            <w:r>
              <w:rPr>
                <w:b/>
                <w:sz w:val="20"/>
                <w:lang w:eastAsia="en-US"/>
              </w:rPr>
              <w:t xml:space="preserve">Έκδοση πιστοποιητικών </w:t>
            </w:r>
            <w:r>
              <w:rPr>
                <w:sz w:val="20"/>
                <w:lang w:eastAsia="en-US"/>
              </w:rPr>
              <w:t>EudraGMP</w:t>
            </w:r>
          </w:p>
        </w:tc>
        <w:tc>
          <w:tcPr>
            <w:tcW w:w="1030" w:type="dxa"/>
            <w:vAlign w:val="center"/>
            <w:hideMark/>
          </w:tcPr>
          <w:p w:rsidR="00641DE4" w:rsidRDefault="00641DE4">
            <w:pPr>
              <w:spacing w:line="276" w:lineRule="auto"/>
              <w:jc w:val="center"/>
              <w:rPr>
                <w:sz w:val="20"/>
                <w:lang w:eastAsia="en-US"/>
              </w:rPr>
            </w:pPr>
            <w:r>
              <w:rPr>
                <w:sz w:val="20"/>
                <w:lang w:val="en-US" w:eastAsia="en-US"/>
              </w:rPr>
              <w:t>9</w:t>
            </w:r>
          </w:p>
        </w:tc>
        <w:tc>
          <w:tcPr>
            <w:tcW w:w="1030" w:type="dxa"/>
            <w:vAlign w:val="center"/>
            <w:hideMark/>
          </w:tcPr>
          <w:p w:rsidR="00641DE4" w:rsidRDefault="00641DE4">
            <w:pPr>
              <w:spacing w:line="276" w:lineRule="auto"/>
              <w:jc w:val="center"/>
              <w:rPr>
                <w:sz w:val="20"/>
                <w:lang w:eastAsia="en-US"/>
              </w:rPr>
            </w:pPr>
            <w:r>
              <w:rPr>
                <w:sz w:val="20"/>
                <w:lang w:val="en-US" w:eastAsia="en-US"/>
              </w:rPr>
              <w:t>24</w:t>
            </w:r>
          </w:p>
        </w:tc>
        <w:tc>
          <w:tcPr>
            <w:tcW w:w="1031" w:type="dxa"/>
            <w:vAlign w:val="center"/>
            <w:hideMark/>
          </w:tcPr>
          <w:p w:rsidR="00641DE4" w:rsidRDefault="00641DE4">
            <w:pPr>
              <w:spacing w:line="276" w:lineRule="auto"/>
              <w:jc w:val="center"/>
              <w:rPr>
                <w:sz w:val="20"/>
                <w:lang w:eastAsia="en-US"/>
              </w:rPr>
            </w:pPr>
            <w:r>
              <w:rPr>
                <w:sz w:val="20"/>
                <w:lang w:val="en-US" w:eastAsia="en-US"/>
              </w:rPr>
              <w:t>12</w:t>
            </w:r>
          </w:p>
        </w:tc>
        <w:tc>
          <w:tcPr>
            <w:tcW w:w="1030" w:type="dxa"/>
            <w:vAlign w:val="center"/>
            <w:hideMark/>
          </w:tcPr>
          <w:p w:rsidR="00641DE4" w:rsidRDefault="00641DE4">
            <w:pPr>
              <w:spacing w:line="276" w:lineRule="auto"/>
              <w:jc w:val="center"/>
              <w:rPr>
                <w:color w:val="000000"/>
                <w:sz w:val="20"/>
                <w:szCs w:val="20"/>
                <w:lang w:eastAsia="en-US"/>
              </w:rPr>
            </w:pPr>
            <w:r>
              <w:rPr>
                <w:color w:val="000000"/>
                <w:sz w:val="20"/>
                <w:szCs w:val="20"/>
                <w:lang w:val="en-US" w:eastAsia="en-US"/>
              </w:rPr>
              <w:t>6</w:t>
            </w:r>
          </w:p>
        </w:tc>
        <w:tc>
          <w:tcPr>
            <w:tcW w:w="1031" w:type="dxa"/>
            <w:vAlign w:val="center"/>
            <w:hideMark/>
          </w:tcPr>
          <w:p w:rsidR="00641DE4" w:rsidRDefault="00641DE4">
            <w:pPr>
              <w:spacing w:line="276" w:lineRule="auto"/>
              <w:jc w:val="center"/>
              <w:rPr>
                <w:color w:val="000000"/>
                <w:sz w:val="20"/>
                <w:szCs w:val="20"/>
                <w:lang w:val="en-US" w:eastAsia="en-US"/>
              </w:rPr>
            </w:pPr>
            <w:r>
              <w:rPr>
                <w:color w:val="000000"/>
                <w:sz w:val="20"/>
                <w:szCs w:val="20"/>
                <w:lang w:val="en-US" w:eastAsia="en-US"/>
              </w:rPr>
              <w:t>16</w:t>
            </w:r>
          </w:p>
        </w:tc>
      </w:tr>
      <w:tr w:rsidR="00641DE4" w:rsidTr="0027110F">
        <w:trPr>
          <w:trHeight w:val="395"/>
        </w:trPr>
        <w:tc>
          <w:tcPr>
            <w:tcW w:w="3969" w:type="dxa"/>
            <w:tcBorders>
              <w:top w:val="nil"/>
              <w:left w:val="nil"/>
              <w:bottom w:val="double" w:sz="6" w:space="0" w:color="auto"/>
              <w:right w:val="nil"/>
            </w:tcBorders>
            <w:vAlign w:val="center"/>
            <w:hideMark/>
          </w:tcPr>
          <w:p w:rsidR="00641DE4" w:rsidRDefault="00641DE4">
            <w:pPr>
              <w:spacing w:line="276" w:lineRule="auto"/>
              <w:jc w:val="left"/>
              <w:rPr>
                <w:b/>
                <w:sz w:val="20"/>
                <w:lang w:eastAsia="en-US"/>
              </w:rPr>
            </w:pPr>
            <w:r>
              <w:rPr>
                <w:b/>
                <w:sz w:val="20"/>
                <w:lang w:eastAsia="en-US"/>
              </w:rPr>
              <w:t>Έκδοση πιστοποιητικών φαρμακευτικών προϊόντων.</w:t>
            </w:r>
          </w:p>
        </w:tc>
        <w:tc>
          <w:tcPr>
            <w:tcW w:w="1030" w:type="dxa"/>
            <w:tcBorders>
              <w:top w:val="nil"/>
              <w:left w:val="nil"/>
              <w:bottom w:val="double" w:sz="6" w:space="0" w:color="auto"/>
              <w:right w:val="nil"/>
            </w:tcBorders>
            <w:vAlign w:val="center"/>
            <w:hideMark/>
          </w:tcPr>
          <w:p w:rsidR="00641DE4" w:rsidRDefault="00641DE4">
            <w:pPr>
              <w:spacing w:line="276" w:lineRule="auto"/>
              <w:jc w:val="center"/>
              <w:rPr>
                <w:sz w:val="20"/>
                <w:lang w:eastAsia="en-US"/>
              </w:rPr>
            </w:pPr>
            <w:r>
              <w:rPr>
                <w:sz w:val="20"/>
                <w:lang w:eastAsia="en-US"/>
              </w:rPr>
              <w:t>2171</w:t>
            </w:r>
          </w:p>
        </w:tc>
        <w:tc>
          <w:tcPr>
            <w:tcW w:w="1030" w:type="dxa"/>
            <w:tcBorders>
              <w:top w:val="nil"/>
              <w:left w:val="nil"/>
              <w:bottom w:val="double" w:sz="6" w:space="0" w:color="auto"/>
              <w:right w:val="nil"/>
            </w:tcBorders>
            <w:vAlign w:val="center"/>
            <w:hideMark/>
          </w:tcPr>
          <w:p w:rsidR="00641DE4" w:rsidRDefault="00641DE4">
            <w:pPr>
              <w:spacing w:line="276" w:lineRule="auto"/>
              <w:jc w:val="center"/>
              <w:rPr>
                <w:sz w:val="20"/>
                <w:lang w:eastAsia="en-US"/>
              </w:rPr>
            </w:pPr>
            <w:r>
              <w:rPr>
                <w:sz w:val="20"/>
                <w:lang w:eastAsia="en-US"/>
              </w:rPr>
              <w:t>2451</w:t>
            </w:r>
          </w:p>
        </w:tc>
        <w:tc>
          <w:tcPr>
            <w:tcW w:w="1031" w:type="dxa"/>
            <w:tcBorders>
              <w:top w:val="nil"/>
              <w:left w:val="nil"/>
              <w:bottom w:val="double" w:sz="6" w:space="0" w:color="auto"/>
              <w:right w:val="nil"/>
            </w:tcBorders>
            <w:vAlign w:val="center"/>
            <w:hideMark/>
          </w:tcPr>
          <w:p w:rsidR="00641DE4" w:rsidRDefault="00641DE4">
            <w:pPr>
              <w:spacing w:line="276" w:lineRule="auto"/>
              <w:jc w:val="center"/>
              <w:rPr>
                <w:sz w:val="20"/>
                <w:lang w:eastAsia="en-US"/>
              </w:rPr>
            </w:pPr>
            <w:r>
              <w:rPr>
                <w:sz w:val="20"/>
                <w:lang w:eastAsia="en-US"/>
              </w:rPr>
              <w:t>2134</w:t>
            </w:r>
          </w:p>
        </w:tc>
        <w:tc>
          <w:tcPr>
            <w:tcW w:w="1030" w:type="dxa"/>
            <w:tcBorders>
              <w:top w:val="nil"/>
              <w:left w:val="nil"/>
              <w:bottom w:val="double" w:sz="6"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2369</w:t>
            </w:r>
          </w:p>
        </w:tc>
        <w:tc>
          <w:tcPr>
            <w:tcW w:w="1031" w:type="dxa"/>
            <w:tcBorders>
              <w:top w:val="nil"/>
              <w:left w:val="nil"/>
              <w:bottom w:val="double" w:sz="6" w:space="0" w:color="auto"/>
              <w:right w:val="nil"/>
            </w:tcBorders>
            <w:vAlign w:val="center"/>
            <w:hideMark/>
          </w:tcPr>
          <w:p w:rsidR="00641DE4" w:rsidRDefault="00641DE4">
            <w:pPr>
              <w:spacing w:line="276" w:lineRule="auto"/>
              <w:jc w:val="center"/>
              <w:rPr>
                <w:color w:val="000000"/>
                <w:sz w:val="20"/>
                <w:szCs w:val="20"/>
                <w:lang w:eastAsia="en-US"/>
              </w:rPr>
            </w:pPr>
            <w:r>
              <w:rPr>
                <w:color w:val="000000"/>
                <w:sz w:val="20"/>
                <w:szCs w:val="20"/>
                <w:lang w:eastAsia="en-US"/>
              </w:rPr>
              <w:t>2033</w:t>
            </w:r>
          </w:p>
        </w:tc>
      </w:tr>
    </w:tbl>
    <w:p w:rsidR="00641DE4" w:rsidRDefault="00641DE4" w:rsidP="00641DE4">
      <w:pPr>
        <w:spacing w:before="240" w:after="100" w:afterAutospacing="1"/>
      </w:pPr>
      <w:r>
        <w:rPr>
          <w:b/>
        </w:rPr>
        <w:t xml:space="preserve">Διάγραμμα </w:t>
      </w:r>
      <w:r w:rsidR="002D183B">
        <w:rPr>
          <w:b/>
          <w:iCs/>
          <w:lang w:eastAsia="en-US"/>
        </w:rPr>
        <w:t>1.2.2.6</w:t>
      </w:r>
      <w:r>
        <w:rPr>
          <w:b/>
        </w:rPr>
        <w:t xml:space="preserve">.β(1): Εκδόσεις, ανανεώσεις, τροποποιήσεις αδειών παρασκευής/ χονδρικής πώλησης / εισαγωγές τρίτων χωρών  </w:t>
      </w:r>
    </w:p>
    <w:p w:rsidR="00641DE4" w:rsidRDefault="00641DE4" w:rsidP="0027110F">
      <w:pPr>
        <w:spacing w:before="240"/>
        <w:rPr>
          <w:b/>
        </w:rPr>
      </w:pPr>
      <w:r>
        <w:rPr>
          <w:b/>
          <w:noProof/>
          <w:lang w:val="en-US" w:eastAsia="en-US"/>
        </w:rPr>
        <w:drawing>
          <wp:inline distT="0" distB="0" distL="0" distR="0">
            <wp:extent cx="5800164" cy="2886635"/>
            <wp:effectExtent l="0" t="0" r="1016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1DE4" w:rsidRDefault="00641DE4" w:rsidP="00641DE4">
      <w:pPr>
        <w:spacing w:after="240"/>
        <w:rPr>
          <w:b/>
        </w:rPr>
      </w:pPr>
      <w:r>
        <w:rPr>
          <w:b/>
        </w:rPr>
        <w:lastRenderedPageBreak/>
        <w:t xml:space="preserve">Διάγραμμα </w:t>
      </w:r>
      <w:r w:rsidR="002D183B">
        <w:rPr>
          <w:b/>
          <w:iCs/>
          <w:lang w:eastAsia="en-US"/>
        </w:rPr>
        <w:t>1.2.2.6</w:t>
      </w:r>
      <w:r>
        <w:rPr>
          <w:b/>
        </w:rPr>
        <w:t>.β(2): Έκδοση πιστοποιητικών EudraGMP</w:t>
      </w:r>
    </w:p>
    <w:p w:rsidR="00641DE4" w:rsidRDefault="00641DE4" w:rsidP="00641DE4">
      <w:pPr>
        <w:rPr>
          <w:b/>
          <w:lang w:val="en-US"/>
        </w:rPr>
      </w:pPr>
      <w:r>
        <w:rPr>
          <w:b/>
          <w:noProof/>
          <w:lang w:val="en-US" w:eastAsia="en-US"/>
        </w:rPr>
        <w:drawing>
          <wp:inline distT="0" distB="0" distL="0" distR="0">
            <wp:extent cx="5804452" cy="3617844"/>
            <wp:effectExtent l="0" t="0" r="2540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DE4" w:rsidRDefault="00641DE4" w:rsidP="00641DE4">
      <w:pPr>
        <w:rPr>
          <w:b/>
          <w:lang w:val="en-US"/>
        </w:rPr>
      </w:pPr>
    </w:p>
    <w:p w:rsidR="00641DE4" w:rsidRDefault="00641DE4" w:rsidP="00641DE4">
      <w:pPr>
        <w:rPr>
          <w:b/>
          <w:lang w:val="en-US"/>
        </w:rPr>
      </w:pPr>
    </w:p>
    <w:p w:rsidR="00641DE4" w:rsidRDefault="00641DE4" w:rsidP="00641DE4">
      <w:pPr>
        <w:spacing w:after="240"/>
        <w:rPr>
          <w:b/>
        </w:rPr>
      </w:pPr>
      <w:r>
        <w:rPr>
          <w:b/>
        </w:rPr>
        <w:t xml:space="preserve">Διάγραμμα </w:t>
      </w:r>
      <w:r w:rsidR="002D183B">
        <w:rPr>
          <w:b/>
          <w:iCs/>
          <w:lang w:eastAsia="en-US"/>
        </w:rPr>
        <w:t>1.2.2.6</w:t>
      </w:r>
      <w:r>
        <w:rPr>
          <w:b/>
        </w:rPr>
        <w:t>.β(3): Έκδοση πιστοποιητικών φαρμακευτικών προϊόντων</w:t>
      </w:r>
    </w:p>
    <w:p w:rsidR="00641DE4" w:rsidRDefault="00641DE4" w:rsidP="00641DE4">
      <w:pPr>
        <w:rPr>
          <w:b/>
          <w:noProof/>
          <w:lang w:eastAsia="en-US"/>
        </w:rPr>
      </w:pPr>
      <w:r>
        <w:rPr>
          <w:b/>
          <w:noProof/>
          <w:lang w:val="en-US" w:eastAsia="en-US"/>
        </w:rPr>
        <w:drawing>
          <wp:inline distT="0" distB="0" distL="0" distR="0">
            <wp:extent cx="5804452" cy="3617843"/>
            <wp:effectExtent l="0" t="0" r="25400" b="209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1DE4" w:rsidRDefault="00641DE4" w:rsidP="00641DE4">
      <w:pPr>
        <w:rPr>
          <w:b/>
          <w:noProof/>
          <w:lang w:eastAsia="en-US"/>
        </w:rPr>
      </w:pPr>
    </w:p>
    <w:p w:rsidR="00641DE4" w:rsidRDefault="00641DE4" w:rsidP="00CE4845">
      <w:pPr>
        <w:pStyle w:val="Heading4"/>
        <w:rPr>
          <w:sz w:val="18"/>
          <w:szCs w:val="18"/>
        </w:rPr>
      </w:pPr>
      <w:bookmarkStart w:id="58" w:name="_Toc383086792"/>
      <w:r>
        <w:lastRenderedPageBreak/>
        <w:t>Άλλες εργασίες που σχετίζονται με τη Επιθεώρηση κανόνων Ορθής Παρασκευαστικής Πρακτικής (Κ.Ο.Π.Π.)</w:t>
      </w:r>
      <w:bookmarkEnd w:id="58"/>
    </w:p>
    <w:p w:rsidR="00641DE4" w:rsidRDefault="00641DE4" w:rsidP="0027110F">
      <w:pPr>
        <w:pStyle w:val="BodyText2"/>
        <w:shd w:val="clear" w:color="auto" w:fill="auto"/>
        <w:spacing w:before="240" w:after="100" w:afterAutospacing="1"/>
        <w:rPr>
          <w:rFonts w:ascii="Times New Roman" w:hAnsi="Times New Roman"/>
          <w:b/>
        </w:rPr>
      </w:pPr>
      <w:r>
        <w:rPr>
          <w:rFonts w:ascii="Times New Roman" w:hAnsi="Times New Roman"/>
        </w:rPr>
        <w:t>Κατά το 2012 πραγματοποιήθηκαν από τους επιθεωρητές Κανόνων Ορθής Παρασκευαστικής Πρακτικής  δειγματοληψίες φαρμακευτικών προϊόντων που διατίθενται στον ιδιωτικό τομέα και τις Φαρμακευτικές  Αποθήκες του Υπουργείου Υγείας (106 δείγματα), μέσα στα πλαίσια υλοποίησης του ετήσιου προγράμματος δειγματοληψιών που συμφωνήθηκε μεταξύ Φαρμακευτικών Υπηρεσιών και Γενικού Χημείου, ώστε να ελέγχεται η ποιότητα των φαρμάκων που κυκλοφορούν στην αγορά.  Αποστάληκαν επίσης 4 δειγματοληψίες για έκτακτες διερευνήσεις και έγιναν και 2 δειγματοληψίες για το EDQM (</w:t>
      </w:r>
      <w:r>
        <w:rPr>
          <w:rFonts w:ascii="Times New Roman" w:hAnsi="Times New Roman"/>
          <w:lang w:val="en-US"/>
        </w:rPr>
        <w:t>European</w:t>
      </w:r>
      <w:r w:rsidRPr="00641DE4">
        <w:rPr>
          <w:rFonts w:ascii="Times New Roman" w:hAnsi="Times New Roman"/>
        </w:rPr>
        <w:t xml:space="preserve"> </w:t>
      </w:r>
      <w:r>
        <w:rPr>
          <w:rFonts w:ascii="Times New Roman" w:hAnsi="Times New Roman"/>
          <w:lang w:val="en-US"/>
        </w:rPr>
        <w:t>Directorate</w:t>
      </w:r>
      <w:r w:rsidRPr="00641DE4">
        <w:rPr>
          <w:rFonts w:ascii="Times New Roman" w:hAnsi="Times New Roman"/>
        </w:rPr>
        <w:t xml:space="preserve"> </w:t>
      </w:r>
      <w:r>
        <w:rPr>
          <w:rFonts w:ascii="Times New Roman" w:hAnsi="Times New Roman"/>
          <w:lang w:val="en-US"/>
        </w:rPr>
        <w:t>for</w:t>
      </w:r>
      <w:r w:rsidRPr="00641DE4">
        <w:rPr>
          <w:rFonts w:ascii="Times New Roman" w:hAnsi="Times New Roman"/>
        </w:rPr>
        <w:t xml:space="preserve"> </w:t>
      </w:r>
      <w:r>
        <w:rPr>
          <w:rFonts w:ascii="Times New Roman" w:hAnsi="Times New Roman"/>
          <w:lang w:val="en-US"/>
        </w:rPr>
        <w:t>the</w:t>
      </w:r>
      <w:r w:rsidRPr="00641DE4">
        <w:rPr>
          <w:rFonts w:ascii="Times New Roman" w:hAnsi="Times New Roman"/>
        </w:rPr>
        <w:t xml:space="preserve"> </w:t>
      </w:r>
      <w:r>
        <w:rPr>
          <w:rFonts w:ascii="Times New Roman" w:hAnsi="Times New Roman"/>
          <w:lang w:val="en-US"/>
        </w:rPr>
        <w:t>Quality</w:t>
      </w:r>
      <w:r w:rsidRPr="00641DE4">
        <w:rPr>
          <w:rFonts w:ascii="Times New Roman" w:hAnsi="Times New Roman"/>
        </w:rPr>
        <w:t xml:space="preserve"> </w:t>
      </w:r>
      <w:r>
        <w:rPr>
          <w:rFonts w:ascii="Times New Roman" w:hAnsi="Times New Roman"/>
          <w:lang w:val="en-US"/>
        </w:rPr>
        <w:t>of</w:t>
      </w:r>
      <w:r w:rsidRPr="00641DE4">
        <w:rPr>
          <w:rFonts w:ascii="Times New Roman" w:hAnsi="Times New Roman"/>
        </w:rPr>
        <w:t xml:space="preserve"> </w:t>
      </w:r>
      <w:r>
        <w:rPr>
          <w:rFonts w:ascii="Times New Roman" w:hAnsi="Times New Roman"/>
          <w:lang w:val="en-US"/>
        </w:rPr>
        <w:t>Medicines</w:t>
      </w:r>
      <w:r w:rsidRPr="00641DE4">
        <w:rPr>
          <w:rFonts w:ascii="Times New Roman" w:hAnsi="Times New Roman"/>
        </w:rPr>
        <w:t xml:space="preserve"> </w:t>
      </w:r>
      <w:r>
        <w:rPr>
          <w:rFonts w:ascii="Times New Roman" w:hAnsi="Times New Roman"/>
          <w:lang w:val="en-US"/>
        </w:rPr>
        <w:t>and</w:t>
      </w:r>
      <w:r w:rsidRPr="00641DE4">
        <w:rPr>
          <w:rFonts w:ascii="Times New Roman" w:hAnsi="Times New Roman"/>
        </w:rPr>
        <w:t xml:space="preserve"> </w:t>
      </w:r>
      <w:r>
        <w:rPr>
          <w:rFonts w:ascii="Times New Roman" w:hAnsi="Times New Roman"/>
          <w:lang w:val="en-US"/>
        </w:rPr>
        <w:t>HealthCare</w:t>
      </w:r>
      <w:r>
        <w:rPr>
          <w:rFonts w:ascii="Times New Roman" w:hAnsi="Times New Roman"/>
        </w:rPr>
        <w:t>).</w:t>
      </w:r>
    </w:p>
    <w:p w:rsidR="00641DE4" w:rsidRDefault="00641DE4" w:rsidP="00641DE4">
      <w:pPr>
        <w:spacing w:after="100" w:afterAutospacing="1"/>
      </w:pPr>
      <w:r>
        <w:t xml:space="preserve">Το τμήμα Επιθεώρησης Κανόνων Ορθής Παρασκευαστικής Πρακτικής (GMP Inspectorate), του Τομέα Φαρμακορρύθμισης των Φαρμακευτικών Υπηρεσιών συμμετέχει στο Σύστημα Ταχείας Ειδοποίησης (Rapid Alert) διπλής κατεύθυνσης, που καθορίστηκε μεταξύ κρατών μελών της ΕΕ, του Ευρωπαϊκού Οικονομικού Χώρου και κρατών που έχουν συνάψει συμφωνίες αμοιβαίας αναγνώρισης MRA (Mutual Recognition Agreement) όπως Αυστραλία, Καναδάς Ιαπωνία, Ελβετία. </w:t>
      </w:r>
    </w:p>
    <w:p w:rsidR="00641DE4" w:rsidRDefault="00641DE4" w:rsidP="00641DE4">
      <w:pPr>
        <w:spacing w:after="100" w:afterAutospacing="1"/>
      </w:pPr>
      <w:r>
        <w:t>Το Σύστημα Ταχείας Ειδοποίησης αποσκοπεί στην ταχεία ανταλλαγή πληροφοριών μεταξύ των πιο πάνω χωρών, που αφορούν προβλήματα ποιότητας φαρμάκων που κυκλοφορούν στην αγορά, συμπεριλαμβανομένων και πλαστών φαρμάκων που πιθανόν να διατίθενται στην αγορά. Τα προβλήματα ποιότητας χωρίζονται σε τρεις κατηγορίες ανάλογα με την σοβαρότητα τους. Σοβαρά προβλήματα που μπορεί να προκαλέσουν βλάβη στην ανθρώπινη υγεία ή και θάνατο οδηγούν σε άμεση απόσυρση (ανάκληση) των φαρμάκων από την αγορά.</w:t>
      </w:r>
    </w:p>
    <w:p w:rsidR="0027110F" w:rsidRPr="00D706E2" w:rsidRDefault="00641DE4" w:rsidP="00641DE4">
      <w:pPr>
        <w:spacing w:after="100" w:afterAutospacing="1"/>
      </w:pPr>
      <w:r>
        <w:t xml:space="preserve">Επιπλέον, το τμήμα Επιθεώρησης συμμετέχει κάθε χρόνο στην Επιχείρηση Pangea (2012: </w:t>
      </w:r>
      <w:r>
        <w:rPr>
          <w:lang w:val="en-US"/>
        </w:rPr>
        <w:t>Pangea</w:t>
      </w:r>
      <w:r w:rsidRPr="00641DE4">
        <w:t xml:space="preserve"> </w:t>
      </w:r>
      <w:r>
        <w:rPr>
          <w:lang w:val="en-US"/>
        </w:rPr>
        <w:t>V</w:t>
      </w:r>
      <w:r>
        <w:t>) που αποσκοπεί στη καταπολέμηση της παράνομης διαδικτυακής πώλησης φαρμάκων. Επιχείρηση Pangea είναι μια διεθνής εβδομάδα δράσης για την αντιμετώπιση τη διαδικτυακή πώληση πλαστών και παράνομων φαρμάκων και να επισημάνει τους κινδύνους από την αγορά φαρμάκων σε απευθείας σύνδεση. Συντονίζεται από την Ιντερπόλ, η ετήσια λειτουργία συγκεντρώνει τα τελωνεία, ρυθμιστές της υγείας, εθνικής αστυνομίας και του ιδιωτικού τομέα από τις χώρες σε όλο τον κόσμο. Οι δραστηριότητες στοχεύουν τα τρία κύρια συστατικά που χρησιμοποιούνται από παράνομες ιστοσελίδες για τη διεξαγωγή του εμπορίου τους - ο παροχέας υπηρεσιών Internet (ISP), τα συστήματα πληρωμών και την υπηρεσία παράδοσης.</w:t>
      </w:r>
    </w:p>
    <w:p w:rsidR="00D706E2" w:rsidRPr="00D706E2" w:rsidRDefault="00D706E2" w:rsidP="00641DE4">
      <w:pPr>
        <w:spacing w:after="100" w:afterAutospacing="1"/>
      </w:pPr>
    </w:p>
    <w:p w:rsidR="00D706E2" w:rsidRPr="00D706E2" w:rsidRDefault="00D706E2" w:rsidP="00641DE4">
      <w:pPr>
        <w:spacing w:after="100" w:afterAutospacing="1"/>
      </w:pPr>
    </w:p>
    <w:p w:rsidR="00D706E2" w:rsidRPr="00D706E2" w:rsidRDefault="00D706E2" w:rsidP="00641DE4">
      <w:pPr>
        <w:spacing w:after="100" w:afterAutospacing="1"/>
      </w:pPr>
    </w:p>
    <w:p w:rsidR="00D706E2" w:rsidRPr="00D706E2" w:rsidRDefault="00D706E2" w:rsidP="00641DE4">
      <w:pPr>
        <w:spacing w:after="100" w:afterAutospacing="1"/>
      </w:pPr>
    </w:p>
    <w:p w:rsidR="00D706E2" w:rsidRPr="00D706E2" w:rsidRDefault="00D706E2" w:rsidP="00641DE4">
      <w:pPr>
        <w:spacing w:after="100" w:afterAutospacing="1"/>
      </w:pPr>
    </w:p>
    <w:p w:rsidR="00D706E2" w:rsidRPr="00D706E2" w:rsidRDefault="00D706E2" w:rsidP="00641DE4">
      <w:pPr>
        <w:spacing w:after="100" w:afterAutospacing="1"/>
      </w:pPr>
    </w:p>
    <w:p w:rsidR="00D706E2" w:rsidRPr="00D706E2" w:rsidRDefault="00D706E2" w:rsidP="00641DE4">
      <w:pPr>
        <w:spacing w:after="100" w:afterAutospacing="1"/>
      </w:pPr>
    </w:p>
    <w:tbl>
      <w:tblPr>
        <w:tblW w:w="9072" w:type="dxa"/>
        <w:tblInd w:w="108" w:type="dxa"/>
        <w:tblLook w:val="04A0"/>
      </w:tblPr>
      <w:tblGrid>
        <w:gridCol w:w="3969"/>
        <w:gridCol w:w="1020"/>
        <w:gridCol w:w="1021"/>
        <w:gridCol w:w="1020"/>
        <w:gridCol w:w="1021"/>
        <w:gridCol w:w="1021"/>
      </w:tblGrid>
      <w:tr w:rsidR="00641DE4" w:rsidTr="0027110F">
        <w:trPr>
          <w:trHeight w:val="315"/>
        </w:trPr>
        <w:tc>
          <w:tcPr>
            <w:tcW w:w="9072" w:type="dxa"/>
            <w:gridSpan w:val="6"/>
            <w:tcBorders>
              <w:top w:val="nil"/>
              <w:left w:val="nil"/>
              <w:bottom w:val="double" w:sz="6" w:space="0" w:color="auto"/>
              <w:right w:val="nil"/>
            </w:tcBorders>
            <w:noWrap/>
            <w:vAlign w:val="bottom"/>
            <w:hideMark/>
          </w:tcPr>
          <w:p w:rsidR="00641DE4" w:rsidRDefault="00641DE4">
            <w:pPr>
              <w:spacing w:line="276" w:lineRule="auto"/>
              <w:jc w:val="left"/>
              <w:rPr>
                <w:b/>
                <w:color w:val="000000"/>
                <w:lang w:eastAsia="en-US"/>
              </w:rPr>
            </w:pPr>
            <w:r>
              <w:rPr>
                <w:b/>
                <w:color w:val="000000"/>
                <w:szCs w:val="22"/>
                <w:lang w:eastAsia="en-US"/>
              </w:rPr>
              <w:lastRenderedPageBreak/>
              <w:t xml:space="preserve">Πίνακας </w:t>
            </w:r>
            <w:r w:rsidR="002D183B">
              <w:rPr>
                <w:b/>
                <w:iCs/>
                <w:lang w:eastAsia="en-US"/>
              </w:rPr>
              <w:t>1.2.2</w:t>
            </w:r>
            <w:r>
              <w:rPr>
                <w:b/>
                <w:iCs/>
                <w:lang w:eastAsia="en-US"/>
              </w:rPr>
              <w:t>.7</w:t>
            </w:r>
            <w:r>
              <w:rPr>
                <w:b/>
                <w:color w:val="000000"/>
                <w:szCs w:val="22"/>
                <w:lang w:eastAsia="en-US"/>
              </w:rPr>
              <w:t>.α:</w:t>
            </w:r>
            <w:r>
              <w:rPr>
                <w:b/>
                <w:color w:val="000000"/>
                <w:szCs w:val="22"/>
                <w:lang w:eastAsia="en-US"/>
              </w:rPr>
              <w:tab/>
              <w:t>Δειγματοληψίες, Σύστημα Ταχείας Ειδοποίησης (Τ.Ε.) και Ανακλήσεις Φαρμακευτικών Προϊόντων</w:t>
            </w:r>
            <w:r>
              <w:rPr>
                <w:b/>
                <w:color w:val="000000"/>
                <w:szCs w:val="22"/>
                <w:lang w:eastAsia="en-US"/>
              </w:rPr>
              <w:tab/>
            </w:r>
            <w:r>
              <w:rPr>
                <w:b/>
                <w:color w:val="000000"/>
                <w:szCs w:val="22"/>
                <w:lang w:eastAsia="en-US"/>
              </w:rPr>
              <w:tab/>
            </w:r>
            <w:r>
              <w:rPr>
                <w:b/>
                <w:color w:val="000000"/>
                <w:szCs w:val="22"/>
                <w:lang w:eastAsia="en-US"/>
              </w:rPr>
              <w:tab/>
            </w:r>
          </w:p>
        </w:tc>
      </w:tr>
      <w:tr w:rsidR="00641DE4" w:rsidTr="0027110F">
        <w:trPr>
          <w:trHeight w:val="390"/>
        </w:trPr>
        <w:tc>
          <w:tcPr>
            <w:tcW w:w="3969" w:type="dxa"/>
            <w:tcBorders>
              <w:top w:val="nil"/>
              <w:left w:val="nil"/>
              <w:bottom w:val="single" w:sz="4" w:space="0" w:color="auto"/>
              <w:right w:val="nil"/>
            </w:tcBorders>
            <w:vAlign w:val="center"/>
            <w:hideMark/>
          </w:tcPr>
          <w:p w:rsidR="00641DE4" w:rsidRDefault="00641DE4">
            <w:pPr>
              <w:spacing w:line="276" w:lineRule="auto"/>
              <w:rPr>
                <w:b/>
                <w:lang w:eastAsia="en-US"/>
              </w:rPr>
            </w:pPr>
            <w:r>
              <w:rPr>
                <w:b/>
                <w:lang w:eastAsia="en-US"/>
              </w:rPr>
              <w:t>Δείγματα</w:t>
            </w:r>
          </w:p>
        </w:tc>
        <w:tc>
          <w:tcPr>
            <w:tcW w:w="1020"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2008</w:t>
            </w:r>
          </w:p>
        </w:tc>
        <w:tc>
          <w:tcPr>
            <w:tcW w:w="1021"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2009</w:t>
            </w:r>
          </w:p>
        </w:tc>
        <w:tc>
          <w:tcPr>
            <w:tcW w:w="1020"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2010</w:t>
            </w:r>
          </w:p>
        </w:tc>
        <w:tc>
          <w:tcPr>
            <w:tcW w:w="1021"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2011</w:t>
            </w:r>
          </w:p>
        </w:tc>
        <w:tc>
          <w:tcPr>
            <w:tcW w:w="1021" w:type="dxa"/>
            <w:tcBorders>
              <w:top w:val="double" w:sz="6" w:space="0" w:color="auto"/>
              <w:left w:val="nil"/>
              <w:bottom w:val="single" w:sz="4" w:space="0" w:color="auto"/>
              <w:right w:val="nil"/>
            </w:tcBorders>
            <w:vAlign w:val="center"/>
            <w:hideMark/>
          </w:tcPr>
          <w:p w:rsidR="00641DE4" w:rsidRDefault="00641DE4">
            <w:pPr>
              <w:spacing w:after="0" w:line="276" w:lineRule="auto"/>
              <w:jc w:val="center"/>
              <w:rPr>
                <w:b/>
                <w:bCs/>
                <w:color w:val="000000"/>
                <w:sz w:val="20"/>
                <w:szCs w:val="20"/>
                <w:lang w:eastAsia="en-US"/>
              </w:rPr>
            </w:pPr>
            <w:r>
              <w:rPr>
                <w:b/>
                <w:bCs/>
                <w:color w:val="000000"/>
                <w:sz w:val="20"/>
                <w:szCs w:val="20"/>
                <w:lang w:eastAsia="en-US"/>
              </w:rPr>
              <w:t>2012</w:t>
            </w:r>
          </w:p>
        </w:tc>
      </w:tr>
      <w:tr w:rsidR="00641DE4" w:rsidTr="0027110F">
        <w:trPr>
          <w:trHeight w:val="533"/>
        </w:trPr>
        <w:tc>
          <w:tcPr>
            <w:tcW w:w="3969" w:type="dxa"/>
            <w:tcBorders>
              <w:top w:val="single" w:sz="4" w:space="0" w:color="auto"/>
              <w:left w:val="nil"/>
              <w:bottom w:val="nil"/>
              <w:right w:val="nil"/>
            </w:tcBorders>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Δειγματοληψίες Επιτόπιας Αγοράς</w:t>
            </w:r>
          </w:p>
        </w:tc>
        <w:tc>
          <w:tcPr>
            <w:tcW w:w="1020"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188</w:t>
            </w:r>
          </w:p>
        </w:tc>
        <w:tc>
          <w:tcPr>
            <w:tcW w:w="1021"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224</w:t>
            </w:r>
          </w:p>
        </w:tc>
        <w:tc>
          <w:tcPr>
            <w:tcW w:w="1020"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172</w:t>
            </w:r>
          </w:p>
        </w:tc>
        <w:tc>
          <w:tcPr>
            <w:tcW w:w="1021" w:type="dxa"/>
            <w:tcBorders>
              <w:top w:val="single" w:sz="4" w:space="0" w:color="auto"/>
              <w:left w:val="nil"/>
              <w:bottom w:val="nil"/>
              <w:right w:val="nil"/>
            </w:tcBorders>
            <w:vAlign w:val="center"/>
            <w:hideMark/>
          </w:tcPr>
          <w:p w:rsidR="00641DE4" w:rsidRDefault="00641DE4">
            <w:pPr>
              <w:spacing w:line="276" w:lineRule="auto"/>
              <w:jc w:val="center"/>
              <w:rPr>
                <w:color w:val="000000"/>
                <w:sz w:val="20"/>
                <w:lang w:eastAsia="en-US"/>
              </w:rPr>
            </w:pPr>
            <w:r>
              <w:rPr>
                <w:color w:val="000000"/>
                <w:sz w:val="20"/>
                <w:szCs w:val="22"/>
                <w:lang w:eastAsia="en-US"/>
              </w:rPr>
              <w:t>203</w:t>
            </w:r>
          </w:p>
        </w:tc>
        <w:tc>
          <w:tcPr>
            <w:tcW w:w="1021" w:type="dxa"/>
            <w:tcBorders>
              <w:top w:val="single" w:sz="4" w:space="0" w:color="auto"/>
              <w:left w:val="nil"/>
              <w:bottom w:val="nil"/>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106</w:t>
            </w:r>
          </w:p>
        </w:tc>
      </w:tr>
      <w:tr w:rsidR="00641DE4" w:rsidTr="0027110F">
        <w:trPr>
          <w:trHeight w:val="330"/>
        </w:trPr>
        <w:tc>
          <w:tcPr>
            <w:tcW w:w="3969" w:type="dxa"/>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Δειγματοληψίες για έκτακτες Διερευνήσεις</w:t>
            </w:r>
          </w:p>
        </w:tc>
        <w:tc>
          <w:tcPr>
            <w:tcW w:w="1020" w:type="dxa"/>
            <w:vAlign w:val="center"/>
            <w:hideMark/>
          </w:tcPr>
          <w:p w:rsidR="00641DE4" w:rsidRDefault="00641DE4">
            <w:pPr>
              <w:spacing w:line="276" w:lineRule="auto"/>
              <w:jc w:val="center"/>
              <w:rPr>
                <w:bCs/>
                <w:color w:val="000000"/>
                <w:sz w:val="20"/>
                <w:lang w:val="en-US" w:eastAsia="en-US"/>
              </w:rPr>
            </w:pPr>
            <w:r>
              <w:rPr>
                <w:bCs/>
                <w:color w:val="000000"/>
                <w:sz w:val="20"/>
                <w:szCs w:val="22"/>
                <w:lang w:val="en-US" w:eastAsia="en-US"/>
              </w:rPr>
              <w:t>--</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w:t>
            </w:r>
          </w:p>
        </w:tc>
        <w:tc>
          <w:tcPr>
            <w:tcW w:w="1021" w:type="dxa"/>
            <w:vAlign w:val="center"/>
            <w:hideMark/>
          </w:tcPr>
          <w:p w:rsidR="00641DE4" w:rsidRDefault="00641DE4">
            <w:pPr>
              <w:spacing w:line="276" w:lineRule="auto"/>
              <w:jc w:val="center"/>
              <w:rPr>
                <w:color w:val="000000"/>
                <w:sz w:val="20"/>
                <w:lang w:eastAsia="en-US"/>
              </w:rPr>
            </w:pPr>
            <w:r>
              <w:rPr>
                <w:color w:val="000000"/>
                <w:sz w:val="20"/>
                <w:szCs w:val="22"/>
                <w:lang w:eastAsia="en-US"/>
              </w:rPr>
              <w:t>2</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4</w:t>
            </w:r>
          </w:p>
        </w:tc>
      </w:tr>
      <w:tr w:rsidR="00641DE4" w:rsidTr="0027110F">
        <w:trPr>
          <w:trHeight w:val="330"/>
        </w:trPr>
        <w:tc>
          <w:tcPr>
            <w:tcW w:w="3969" w:type="dxa"/>
            <w:vAlign w:val="center"/>
            <w:hideMark/>
          </w:tcPr>
          <w:p w:rsidR="00641DE4" w:rsidRDefault="00641DE4">
            <w:pPr>
              <w:spacing w:line="276" w:lineRule="auto"/>
              <w:jc w:val="left"/>
              <w:rPr>
                <w:b/>
                <w:bCs/>
                <w:color w:val="000000"/>
                <w:sz w:val="20"/>
                <w:lang w:val="en-US" w:eastAsia="en-US"/>
              </w:rPr>
            </w:pPr>
            <w:r>
              <w:rPr>
                <w:b/>
                <w:bCs/>
                <w:color w:val="000000"/>
                <w:sz w:val="20"/>
                <w:szCs w:val="22"/>
                <w:lang w:eastAsia="en-US"/>
              </w:rPr>
              <w:t>Δειγματοληψίες</w:t>
            </w:r>
            <w:r>
              <w:rPr>
                <w:b/>
                <w:bCs/>
                <w:color w:val="000000"/>
                <w:sz w:val="20"/>
                <w:szCs w:val="22"/>
                <w:lang w:val="en-US" w:eastAsia="en-US"/>
              </w:rPr>
              <w:t xml:space="preserve"> </w:t>
            </w:r>
            <w:r>
              <w:rPr>
                <w:b/>
                <w:bCs/>
                <w:color w:val="000000"/>
                <w:sz w:val="20"/>
                <w:szCs w:val="22"/>
                <w:lang w:eastAsia="en-US"/>
              </w:rPr>
              <w:t>για</w:t>
            </w:r>
            <w:r>
              <w:rPr>
                <w:b/>
                <w:bCs/>
                <w:color w:val="000000"/>
                <w:sz w:val="20"/>
                <w:szCs w:val="22"/>
                <w:lang w:val="en-US" w:eastAsia="en-US"/>
              </w:rPr>
              <w:t xml:space="preserve"> </w:t>
            </w:r>
            <w:r>
              <w:rPr>
                <w:b/>
                <w:bCs/>
                <w:color w:val="000000"/>
                <w:sz w:val="20"/>
                <w:szCs w:val="22"/>
                <w:lang w:eastAsia="en-US"/>
              </w:rPr>
              <w:t>το</w:t>
            </w:r>
            <w:r>
              <w:rPr>
                <w:b/>
                <w:bCs/>
                <w:color w:val="000000"/>
                <w:sz w:val="20"/>
                <w:szCs w:val="22"/>
                <w:lang w:val="en-US" w:eastAsia="en-US"/>
              </w:rPr>
              <w:t xml:space="preserve"> EDQM (European Directorate for the Quality of Medicines and HealthCare)</w:t>
            </w:r>
          </w:p>
        </w:tc>
        <w:tc>
          <w:tcPr>
            <w:tcW w:w="1020" w:type="dxa"/>
            <w:vAlign w:val="center"/>
            <w:hideMark/>
          </w:tcPr>
          <w:p w:rsidR="00641DE4" w:rsidRDefault="00641DE4">
            <w:pPr>
              <w:spacing w:line="276" w:lineRule="auto"/>
              <w:jc w:val="center"/>
              <w:rPr>
                <w:bCs/>
                <w:color w:val="000000"/>
                <w:sz w:val="20"/>
                <w:lang w:val="en-US" w:eastAsia="en-US"/>
              </w:rPr>
            </w:pPr>
            <w:r>
              <w:rPr>
                <w:bCs/>
                <w:color w:val="000000"/>
                <w:sz w:val="20"/>
                <w:szCs w:val="22"/>
                <w:lang w:val="en-US" w:eastAsia="en-US"/>
              </w:rPr>
              <w:t>--</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w:t>
            </w:r>
          </w:p>
        </w:tc>
        <w:tc>
          <w:tcPr>
            <w:tcW w:w="1021" w:type="dxa"/>
            <w:vAlign w:val="center"/>
            <w:hideMark/>
          </w:tcPr>
          <w:p w:rsidR="00641DE4" w:rsidRDefault="00641DE4">
            <w:pPr>
              <w:spacing w:line="276" w:lineRule="auto"/>
              <w:jc w:val="center"/>
              <w:rPr>
                <w:color w:val="000000"/>
                <w:sz w:val="20"/>
                <w:lang w:eastAsia="en-US"/>
              </w:rPr>
            </w:pPr>
            <w:r>
              <w:rPr>
                <w:color w:val="000000"/>
                <w:sz w:val="20"/>
                <w:szCs w:val="22"/>
                <w:lang w:eastAsia="en-US"/>
              </w:rPr>
              <w:t>2</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2</w:t>
            </w:r>
          </w:p>
        </w:tc>
      </w:tr>
      <w:tr w:rsidR="00641DE4" w:rsidTr="0027110F">
        <w:trPr>
          <w:trHeight w:val="330"/>
        </w:trPr>
        <w:tc>
          <w:tcPr>
            <w:tcW w:w="3969" w:type="dxa"/>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Διερευνήσεις για προβλήματα Ποιότητας Φαρμακευτικών Προϊόντων</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30</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46</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40</w:t>
            </w:r>
          </w:p>
        </w:tc>
        <w:tc>
          <w:tcPr>
            <w:tcW w:w="1021" w:type="dxa"/>
            <w:vAlign w:val="center"/>
            <w:hideMark/>
          </w:tcPr>
          <w:p w:rsidR="00641DE4" w:rsidRDefault="00641DE4">
            <w:pPr>
              <w:spacing w:line="276" w:lineRule="auto"/>
              <w:jc w:val="center"/>
              <w:rPr>
                <w:color w:val="000000"/>
                <w:sz w:val="20"/>
                <w:lang w:eastAsia="en-US"/>
              </w:rPr>
            </w:pPr>
            <w:r>
              <w:rPr>
                <w:color w:val="000000"/>
                <w:sz w:val="20"/>
                <w:szCs w:val="22"/>
                <w:lang w:eastAsia="en-US"/>
              </w:rPr>
              <w:t>75</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62</w:t>
            </w:r>
          </w:p>
        </w:tc>
      </w:tr>
      <w:tr w:rsidR="00641DE4" w:rsidTr="0027110F">
        <w:trPr>
          <w:trHeight w:val="403"/>
        </w:trPr>
        <w:tc>
          <w:tcPr>
            <w:tcW w:w="3969" w:type="dxa"/>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Ανακλήσεις Φαρμακευτικών Προϊόντων</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6</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8</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14</w:t>
            </w:r>
          </w:p>
        </w:tc>
        <w:tc>
          <w:tcPr>
            <w:tcW w:w="1021" w:type="dxa"/>
            <w:vAlign w:val="center"/>
            <w:hideMark/>
          </w:tcPr>
          <w:p w:rsidR="00641DE4" w:rsidRDefault="00641DE4">
            <w:pPr>
              <w:spacing w:line="276" w:lineRule="auto"/>
              <w:jc w:val="center"/>
              <w:rPr>
                <w:color w:val="000000"/>
                <w:sz w:val="20"/>
                <w:lang w:eastAsia="en-US"/>
              </w:rPr>
            </w:pPr>
            <w:r>
              <w:rPr>
                <w:color w:val="000000"/>
                <w:sz w:val="20"/>
                <w:szCs w:val="22"/>
                <w:lang w:eastAsia="en-US"/>
              </w:rPr>
              <w:t>15</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17</w:t>
            </w:r>
          </w:p>
        </w:tc>
      </w:tr>
      <w:tr w:rsidR="00641DE4" w:rsidTr="0027110F">
        <w:trPr>
          <w:trHeight w:val="624"/>
        </w:trPr>
        <w:tc>
          <w:tcPr>
            <w:tcW w:w="3969" w:type="dxa"/>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Σύστημα Ταχείας Ειδοποίησης (Rapid Alert) Εισερχόμενες Τ.Ε.</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113</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93</w:t>
            </w:r>
          </w:p>
        </w:tc>
        <w:tc>
          <w:tcPr>
            <w:tcW w:w="1020"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142</w:t>
            </w:r>
          </w:p>
        </w:tc>
        <w:tc>
          <w:tcPr>
            <w:tcW w:w="1021" w:type="dxa"/>
            <w:vAlign w:val="center"/>
            <w:hideMark/>
          </w:tcPr>
          <w:p w:rsidR="00641DE4" w:rsidRDefault="00641DE4">
            <w:pPr>
              <w:spacing w:line="276" w:lineRule="auto"/>
              <w:jc w:val="center"/>
              <w:rPr>
                <w:color w:val="000000"/>
                <w:sz w:val="20"/>
                <w:lang w:eastAsia="en-US"/>
              </w:rPr>
            </w:pPr>
            <w:r>
              <w:rPr>
                <w:color w:val="000000"/>
                <w:sz w:val="20"/>
                <w:szCs w:val="22"/>
                <w:lang w:eastAsia="en-US"/>
              </w:rPr>
              <w:t>170</w:t>
            </w:r>
          </w:p>
        </w:tc>
        <w:tc>
          <w:tcPr>
            <w:tcW w:w="1021" w:type="dxa"/>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197</w:t>
            </w:r>
          </w:p>
        </w:tc>
      </w:tr>
      <w:tr w:rsidR="00641DE4" w:rsidTr="0027110F">
        <w:trPr>
          <w:trHeight w:val="586"/>
        </w:trPr>
        <w:tc>
          <w:tcPr>
            <w:tcW w:w="3969" w:type="dxa"/>
            <w:tcBorders>
              <w:top w:val="nil"/>
              <w:left w:val="nil"/>
              <w:bottom w:val="double" w:sz="6" w:space="0" w:color="auto"/>
              <w:right w:val="nil"/>
            </w:tcBorders>
            <w:vAlign w:val="center"/>
            <w:hideMark/>
          </w:tcPr>
          <w:p w:rsidR="00641DE4" w:rsidRDefault="00641DE4">
            <w:pPr>
              <w:spacing w:line="276" w:lineRule="auto"/>
              <w:jc w:val="left"/>
              <w:rPr>
                <w:b/>
                <w:bCs/>
                <w:color w:val="000000"/>
                <w:sz w:val="20"/>
                <w:lang w:eastAsia="en-US"/>
              </w:rPr>
            </w:pPr>
            <w:r>
              <w:rPr>
                <w:b/>
                <w:bCs/>
                <w:color w:val="000000"/>
                <w:sz w:val="20"/>
                <w:szCs w:val="22"/>
                <w:lang w:eastAsia="en-US"/>
              </w:rPr>
              <w:t>Σύστημα Ταχείας Ειδοποίησης (Rapid Alert) Εξερχόμενες Τ.Ε.</w:t>
            </w:r>
          </w:p>
        </w:tc>
        <w:tc>
          <w:tcPr>
            <w:tcW w:w="1020"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0</w:t>
            </w:r>
          </w:p>
        </w:tc>
        <w:tc>
          <w:tcPr>
            <w:tcW w:w="1021"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0</w:t>
            </w:r>
          </w:p>
        </w:tc>
        <w:tc>
          <w:tcPr>
            <w:tcW w:w="1020"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0</w:t>
            </w:r>
          </w:p>
        </w:tc>
        <w:tc>
          <w:tcPr>
            <w:tcW w:w="1021" w:type="dxa"/>
            <w:tcBorders>
              <w:top w:val="nil"/>
              <w:left w:val="nil"/>
              <w:bottom w:val="double" w:sz="6" w:space="0" w:color="auto"/>
              <w:right w:val="nil"/>
            </w:tcBorders>
            <w:vAlign w:val="center"/>
            <w:hideMark/>
          </w:tcPr>
          <w:p w:rsidR="00641DE4" w:rsidRDefault="00641DE4">
            <w:pPr>
              <w:spacing w:line="276" w:lineRule="auto"/>
              <w:jc w:val="center"/>
              <w:rPr>
                <w:color w:val="000000"/>
                <w:sz w:val="20"/>
                <w:lang w:eastAsia="en-US"/>
              </w:rPr>
            </w:pPr>
            <w:r>
              <w:rPr>
                <w:color w:val="000000"/>
                <w:sz w:val="20"/>
                <w:szCs w:val="22"/>
                <w:lang w:eastAsia="en-US"/>
              </w:rPr>
              <w:t>1</w:t>
            </w:r>
          </w:p>
        </w:tc>
        <w:tc>
          <w:tcPr>
            <w:tcW w:w="1021" w:type="dxa"/>
            <w:tcBorders>
              <w:top w:val="nil"/>
              <w:left w:val="nil"/>
              <w:bottom w:val="double" w:sz="6" w:space="0" w:color="auto"/>
              <w:right w:val="nil"/>
            </w:tcBorders>
            <w:vAlign w:val="center"/>
            <w:hideMark/>
          </w:tcPr>
          <w:p w:rsidR="00641DE4" w:rsidRDefault="00641DE4">
            <w:pPr>
              <w:spacing w:line="276" w:lineRule="auto"/>
              <w:jc w:val="center"/>
              <w:rPr>
                <w:bCs/>
                <w:color w:val="000000"/>
                <w:sz w:val="20"/>
                <w:lang w:eastAsia="en-US"/>
              </w:rPr>
            </w:pPr>
            <w:r>
              <w:rPr>
                <w:bCs/>
                <w:color w:val="000000"/>
                <w:sz w:val="20"/>
                <w:szCs w:val="22"/>
                <w:lang w:eastAsia="en-US"/>
              </w:rPr>
              <w:t>1</w:t>
            </w:r>
          </w:p>
        </w:tc>
      </w:tr>
    </w:tbl>
    <w:p w:rsidR="00F94DDB" w:rsidRPr="00D706E2" w:rsidRDefault="00F94DDB" w:rsidP="00641DE4">
      <w:pPr>
        <w:rPr>
          <w:b/>
          <w:lang w:val="en-US"/>
        </w:rPr>
      </w:pPr>
    </w:p>
    <w:p w:rsidR="00F94DDB" w:rsidRDefault="00F94DDB" w:rsidP="00641DE4">
      <w:pPr>
        <w:rPr>
          <w:b/>
        </w:rPr>
      </w:pPr>
    </w:p>
    <w:p w:rsidR="00641DE4" w:rsidRDefault="00641DE4" w:rsidP="00641DE4">
      <w:pPr>
        <w:rPr>
          <w:b/>
          <w:i/>
        </w:rPr>
      </w:pPr>
      <w:r>
        <w:rPr>
          <w:b/>
        </w:rPr>
        <w:t xml:space="preserve">Διαγράμματα </w:t>
      </w:r>
      <w:r w:rsidR="002D183B">
        <w:rPr>
          <w:b/>
          <w:iCs/>
          <w:lang w:eastAsia="en-US"/>
        </w:rPr>
        <w:t>1.2.2</w:t>
      </w:r>
      <w:r>
        <w:rPr>
          <w:b/>
          <w:iCs/>
        </w:rPr>
        <w:t>.7</w:t>
      </w:r>
      <w:r>
        <w:rPr>
          <w:b/>
        </w:rPr>
        <w:t>.α (1): Δειγματοληψίες - Διερευνήσεις</w:t>
      </w:r>
    </w:p>
    <w:p w:rsidR="00641DE4" w:rsidRDefault="00641DE4" w:rsidP="00641DE4"/>
    <w:p w:rsidR="00F94DDB" w:rsidRDefault="00F94DDB" w:rsidP="00641DE4">
      <w:r>
        <w:rPr>
          <w:noProof/>
          <w:lang w:val="en-US" w:eastAsia="en-US"/>
        </w:rPr>
        <w:drawing>
          <wp:anchor distT="0" distB="0" distL="114300" distR="114300" simplePos="0" relativeHeight="251658240" behindDoc="1" locked="0" layoutInCell="1" allowOverlap="1">
            <wp:simplePos x="0" y="0"/>
            <wp:positionH relativeFrom="column">
              <wp:posOffset>2855595</wp:posOffset>
            </wp:positionH>
            <wp:positionV relativeFrom="paragraph">
              <wp:posOffset>5715</wp:posOffset>
            </wp:positionV>
            <wp:extent cx="2913380" cy="3818890"/>
            <wp:effectExtent l="0" t="0" r="20320" b="1016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41DE4">
        <w:rPr>
          <w:noProof/>
          <w:lang w:val="en-US" w:eastAsia="en-US"/>
        </w:rPr>
        <w:drawing>
          <wp:inline distT="0" distB="0" distL="0" distR="0">
            <wp:extent cx="2850776" cy="3827929"/>
            <wp:effectExtent l="0" t="0" r="26035"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4DDB" w:rsidRDefault="00F94DDB" w:rsidP="00641DE4"/>
    <w:p w:rsidR="00F94DDB" w:rsidRPr="002008D1" w:rsidRDefault="00F94DDB" w:rsidP="00641DE4">
      <w:pPr>
        <w:rPr>
          <w:lang w:val="en-US"/>
        </w:rPr>
      </w:pPr>
    </w:p>
    <w:p w:rsidR="00641DE4" w:rsidRDefault="00641DE4" w:rsidP="00641DE4">
      <w:pPr>
        <w:rPr>
          <w:b/>
          <w:i/>
        </w:rPr>
      </w:pPr>
      <w:r>
        <w:rPr>
          <w:b/>
        </w:rPr>
        <w:lastRenderedPageBreak/>
        <w:t xml:space="preserve">Διαγράμματα </w:t>
      </w:r>
      <w:r w:rsidR="002D183B">
        <w:rPr>
          <w:b/>
          <w:iCs/>
          <w:lang w:eastAsia="en-US"/>
        </w:rPr>
        <w:t>1.2.2</w:t>
      </w:r>
      <w:r>
        <w:rPr>
          <w:b/>
          <w:iCs/>
        </w:rPr>
        <w:t>.7</w:t>
      </w:r>
      <w:r>
        <w:rPr>
          <w:b/>
        </w:rPr>
        <w:t xml:space="preserve">.α (2): Σύστημα Ταχείας Ειδοποίησης </w:t>
      </w:r>
    </w:p>
    <w:p w:rsidR="00641DE4" w:rsidRDefault="00641DE4" w:rsidP="00641DE4"/>
    <w:p w:rsidR="00641DE4" w:rsidRDefault="00641DE4" w:rsidP="00F94DDB">
      <w:pPr>
        <w:jc w:val="center"/>
      </w:pPr>
      <w:r>
        <w:rPr>
          <w:noProof/>
          <w:lang w:val="en-US" w:eastAsia="en-US"/>
        </w:rPr>
        <w:drawing>
          <wp:inline distT="0" distB="0" distL="0" distR="0">
            <wp:extent cx="5002306" cy="3684494"/>
            <wp:effectExtent l="0" t="0" r="2730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en-US" w:eastAsia="en-US"/>
        </w:rPr>
        <w:drawing>
          <wp:inline distT="0" distB="0" distL="0" distR="0">
            <wp:extent cx="5002305" cy="4186518"/>
            <wp:effectExtent l="0" t="0" r="2730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4DDB" w:rsidRPr="002008D1" w:rsidRDefault="00F94DDB" w:rsidP="00641DE4">
      <w:pPr>
        <w:rPr>
          <w:lang w:val="en-US"/>
        </w:rPr>
      </w:pPr>
    </w:p>
    <w:p w:rsidR="00F94DDB" w:rsidRDefault="00F94DDB" w:rsidP="00641DE4"/>
    <w:p w:rsidR="00641DE4" w:rsidRPr="00F94DDB" w:rsidRDefault="00641DE4" w:rsidP="00641DE4">
      <w:pPr>
        <w:rPr>
          <w:b/>
          <w:i/>
        </w:rPr>
      </w:pPr>
      <w:r>
        <w:rPr>
          <w:b/>
        </w:rPr>
        <w:t xml:space="preserve">Διάγραμμα </w:t>
      </w:r>
      <w:r w:rsidR="002D183B">
        <w:rPr>
          <w:b/>
          <w:iCs/>
          <w:lang w:eastAsia="en-US"/>
        </w:rPr>
        <w:t>1.2.2</w:t>
      </w:r>
      <w:r>
        <w:rPr>
          <w:b/>
          <w:iCs/>
        </w:rPr>
        <w:t>.7</w:t>
      </w:r>
      <w:r>
        <w:rPr>
          <w:b/>
        </w:rPr>
        <w:t>.α (3): Ανακλήσεις Φαρμακευτικών Προϊόντων</w:t>
      </w:r>
    </w:p>
    <w:p w:rsidR="00641DE4" w:rsidRDefault="00641DE4" w:rsidP="00F94DDB">
      <w:pPr>
        <w:jc w:val="center"/>
      </w:pPr>
      <w:r>
        <w:rPr>
          <w:noProof/>
          <w:lang w:val="en-US" w:eastAsia="en-US"/>
        </w:rPr>
        <w:drawing>
          <wp:inline distT="0" distB="0" distL="0" distR="0">
            <wp:extent cx="5009322" cy="3488635"/>
            <wp:effectExtent l="0" t="0" r="2032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1DE4" w:rsidRDefault="00641DE4" w:rsidP="00641DE4"/>
    <w:p w:rsidR="00641DE4" w:rsidRDefault="00641DE4" w:rsidP="00CE4845">
      <w:pPr>
        <w:pStyle w:val="Heading4"/>
      </w:pPr>
      <w:bookmarkStart w:id="59" w:name="_Toc383086793"/>
      <w:r>
        <w:t>Τμήμα Φαρμακοεπαγρύπνησης</w:t>
      </w:r>
      <w:bookmarkEnd w:id="59"/>
      <w:r>
        <w:t xml:space="preserve"> </w:t>
      </w:r>
    </w:p>
    <w:p w:rsidR="00641DE4" w:rsidRDefault="00641DE4" w:rsidP="00F94DDB">
      <w:pPr>
        <w:spacing w:before="240" w:after="100" w:afterAutospacing="1"/>
      </w:pPr>
      <w:r>
        <w:t xml:space="preserve">Κατά το 2012 εντάθηκε δραστηριοποίηση του Τμήματος Φαρμακοεπαγρύπνησης στα θέματα της αρμοδιότητάς του. Οι υποχρεώσεις και οι ευθύνες πλέον είναι αυξημένες λόγω των απαιτήσεων της νέας νομοθεσίας (Οδηγία 2010/84ΕΚ και Κανονισμός 1235/2010ΕΚ). </w:t>
      </w:r>
    </w:p>
    <w:p w:rsidR="00641DE4" w:rsidRDefault="00641DE4" w:rsidP="00641DE4">
      <w:pPr>
        <w:spacing w:after="100" w:afterAutospacing="1"/>
      </w:pPr>
      <w:r>
        <w:t>Η Οδηγία ενσωματώθηκε στην Εθνική Νομοθεσία και τέθηκε σε εφαρμογή την 21/07/2012. Λόγω των μαζικών αλλαγών στα συστήματα και τον τρόπο λειτουργίας της Φαρμακοεπαγρύπνησης σε Ευρωπαϊκό Επίπεδο, ως απόρροια του νέου Νομοθετικού Πλαισίου, έγινε ριζική αναθεώρηση των διαδικασιών του συστήματος Ποιότητας. Υποβλήθηκαν στην Ευρωπαϊκή Βάση Δεδομένων ανεπιθύμητων ενεργειών φαρμάκων (Eudravigilance) πέραν των 150 αναφορών ανεπιθύμητων ενεργειών (Α.Ε) που ελήφθησαν με «κίτρινη κάρτα», ενώ ελήφθησαν πέραν των 200 αναφορών από τους Κατόχους Άδειας Κυκλοφορίας προς τους οποίους εστάλησαν ανάλογες αναγνωριστικές απαντήσεις (acknowledge</w:t>
      </w:r>
      <w:r>
        <w:rPr>
          <w:lang w:val="en-GB"/>
        </w:rPr>
        <w:t>ment</w:t>
      </w:r>
      <w:r>
        <w:t xml:space="preserve"> receipts). Μέσω της ιστοσελίδας των Φαρμακευτικών Υπηρεσιών λειτούργησε επιτυχώς σύστημα ηλεκτρονικής υποβολής Α.Ε. Ο αριθμός αναφορών ΑΕ συνέχισε να είναι αυξανόμενος. </w:t>
      </w:r>
    </w:p>
    <w:p w:rsidR="00641DE4" w:rsidRDefault="00641DE4" w:rsidP="00641DE4">
      <w:pPr>
        <w:spacing w:after="100" w:afterAutospacing="1"/>
      </w:pPr>
      <w:r>
        <w:t>Διασφαλίστηκε η ικανοποίηση των όρων και περιορισμών που έθεσε η Ευρωπαϊκή Επιτροπή με τη χορήγηση άδειας κυκλοφορίας μέσω της κεντρικής διαδικασίας για πέραν των πενήντα προϊόντων. Οι εν λόγω όροι και περιορισμοί αφορούν κυρίως ζητήματα ασφάλειας και εκπαίδευσης/ ενημέρωσης των επαγγελματιών της υγείας και των ασθενών για θέματα ασφάλειας και αποτελεσματικότητας. Τέθηκαν επίσης σε εφαρμογή ειδικά σχέδια παρακολούθησης/διαχείρισης κινδύνου για προϊόντα με επικίνδυνο προφίλ ασφαλείας.</w:t>
      </w:r>
    </w:p>
    <w:p w:rsidR="00641DE4" w:rsidRDefault="00641DE4" w:rsidP="00641DE4">
      <w:pPr>
        <w:spacing w:after="100" w:afterAutospacing="1"/>
      </w:pPr>
      <w:r>
        <w:lastRenderedPageBreak/>
        <w:t xml:space="preserve">Εξετάστηκε και εγκρίθηκε η αποστολή μεγάλου αριθμού (πέραν των 50) επιστολών τύπου «Αγαπητέ Επαγγελματία της Υγείας» (DHCPL) που προέκυψαν, μέσω των οποίων ενημερώνονται οι επαγγελματίες της υγείας για επείγοντα θέματα ασφαλείας των φαρμακευτικών προϊόντων. </w:t>
      </w:r>
    </w:p>
    <w:p w:rsidR="00641DE4" w:rsidRDefault="00641DE4" w:rsidP="00641DE4">
      <w:pPr>
        <w:spacing w:after="100" w:afterAutospacing="1"/>
      </w:pPr>
      <w:r>
        <w:t xml:space="preserve">Κατά το 2012 συνεχίστηκε η συστηματική συμμέτοχή, σε μηνιαία βάση, των Φαρμακευτικών Υπηρεσιών στην ομάδα εργασίας για την Φαρμακοεπαγρύπνηση του ΕΜΑ όπως και η περιοδική συμμετοχή στην </w:t>
      </w:r>
      <w:r>
        <w:rPr>
          <w:lang w:val="en-GB"/>
        </w:rPr>
        <w:t>Ad</w:t>
      </w:r>
      <w:r>
        <w:t>-</w:t>
      </w:r>
      <w:r>
        <w:rPr>
          <w:lang w:val="en-GB"/>
        </w:rPr>
        <w:t>Hoc</w:t>
      </w:r>
      <w:r w:rsidRPr="00641DE4">
        <w:t xml:space="preserve"> </w:t>
      </w:r>
      <w:r>
        <w:t xml:space="preserve">Ομάδα Εργασίας για τις επιθεωρήσεις Φαρμακοεπαγρύπνησης. Τον Ιούλιο του 2012 η Ομάδα Εργασίας για την Φαρμακοεπαγρύπνηση έπαψε να υφίσταται και δημιουργήθηκε μια νέα Επιτροπή Φαρμακοεπαγρύπνησης - Αξιολόγησης Κινδύνου, όπως προστάζει η νέα Νομοθεσία. Ενεργή ήταν η συμμετοχή στο σύστημα Rapid Alert (RA) και Non Urgent Information (NUI) του ΕΜΑ, κατά τον μέγιστο δυνατό βαθμό. Διεκπεραιώθηκαν όλα τα δελτία τύπου και οι δημόσιες δηλώσεις του ΕΜΑ για θέματα ασφάλειας φαρμάκων, σύμφωνα με τις υποχρεώσεις των Φ.Υ και ενημερώθηκε σχετικά το κοινό, τόσο μέσα από ανακοινώσεις στα ΜΜΕ όσο και μέσα από την ιστοσελίδα των Φαρμακευτικών Υπηρεσιών. </w:t>
      </w:r>
    </w:p>
    <w:p w:rsidR="00641DE4" w:rsidRDefault="00641DE4" w:rsidP="00641DE4">
      <w:r>
        <w:t xml:space="preserve">Το 2012 συνεχίστηκε η εφαρμογή του προγράμματος επιθεωρήσεων των συστημάτων Φαρμακοεπαγρύπνησης των Κάτοχων Άδειας Κυκλοφορίας. Κατά το 2012 ολοκληρώθηκε και η συζήτηση στο Ευρωπαϊκό Συμβούλιο (Ομάδα Εργασίας για Φάρμακα και Ιατροτεχνολογικά Προϊόντα) για τις πρόσθετες αλλαγές στη νέα νομοθεσία που αφορά στη Φαρμακοεπαγρύπνηση. </w:t>
      </w:r>
    </w:p>
    <w:p w:rsidR="00641DE4" w:rsidRDefault="0086259D" w:rsidP="00641DE4">
      <w:r>
        <w:t>Το Τμήμα Φαρμακοεπαγρύ</w:t>
      </w:r>
      <w:r w:rsidR="00641DE4">
        <w:t>πνησης στα πλαίσια της Κυπριακής Προεδρίας του Ευρωπαϊκού Συμβουλίου οργάνωσε την Άτυπη συνάντηση της Επιτροπής Φαρμακοεπαγρύπνησης και Αξιολόγηση του Κινδύνου στην Κύπρο, ενώ συμμετείχε και σε κάθε δραστηριότητα που απορρέει από την Προεδρία.</w:t>
      </w:r>
    </w:p>
    <w:p w:rsidR="00641DE4" w:rsidRDefault="00641DE4" w:rsidP="00641DE4">
      <w:r>
        <w:t>Επιπλέον διοργανώθηκαν εκπαιδευτικά σεμινάρια για τις απαιτήσεις της νέας νομοθεσίας, προς όλους τους ενδιαφερόμε</w:t>
      </w:r>
      <w:r w:rsidR="0086259D">
        <w:t>νους, ενώ το Τμήμα Φαρμακοεπαγρύ</w:t>
      </w:r>
      <w:r>
        <w:t>πνησης ξεκίνησε να συμμετέχει σε δυο Ευρωπαϊκά προγράμματα (</w:t>
      </w:r>
      <w:r>
        <w:rPr>
          <w:lang w:val="en-US"/>
        </w:rPr>
        <w:t>Pharmacovigilance</w:t>
      </w:r>
      <w:r w:rsidRPr="00641DE4">
        <w:t xml:space="preserve"> </w:t>
      </w:r>
      <w:r>
        <w:rPr>
          <w:lang w:val="en-US"/>
        </w:rPr>
        <w:t>Joint</w:t>
      </w:r>
      <w:r w:rsidRPr="00641DE4">
        <w:t xml:space="preserve"> </w:t>
      </w:r>
      <w:r>
        <w:rPr>
          <w:lang w:val="en-US"/>
        </w:rPr>
        <w:t>Action</w:t>
      </w:r>
      <w:r>
        <w:t xml:space="preserve"> &amp; Πρόγραμμα </w:t>
      </w:r>
      <w:r>
        <w:rPr>
          <w:lang w:val="en-US"/>
        </w:rPr>
        <w:t>Life</w:t>
      </w:r>
      <w:r w:rsidR="00F94DDB">
        <w:t>).</w:t>
      </w:r>
    </w:p>
    <w:p w:rsidR="00641DE4" w:rsidRDefault="00641DE4" w:rsidP="00CE4845">
      <w:pPr>
        <w:pStyle w:val="Heading4"/>
      </w:pPr>
      <w:bookmarkStart w:id="60" w:name="_Toc383086794"/>
      <w:r>
        <w:t>Συμμετοχή σε Επιτροπές στην Κύπρο και στο εξωτερικό</w:t>
      </w:r>
      <w:bookmarkEnd w:id="60"/>
      <w:r>
        <w:t xml:space="preserve"> </w:t>
      </w:r>
    </w:p>
    <w:p w:rsidR="00641DE4" w:rsidRDefault="00641DE4" w:rsidP="00F94DDB">
      <w:pPr>
        <w:spacing w:before="240"/>
        <w:rPr>
          <w:sz w:val="20"/>
          <w:szCs w:val="20"/>
        </w:rPr>
      </w:pPr>
      <w:r>
        <w:t xml:space="preserve">Ο Τομέας συμμετείχε με εκπροσώπους του στο Συμβούλιο Φαρμάκων, στην Υπoεπιτροπή Ανθρωπίνων Φαρμάκων, στην Υποεπιτροπή Κλινικών Δοκιμών, στην Υπoεπιτροπή Ειδικευμένων Προσώπων, στο Συμβούλιο Φαρμακευτικής και Επιτροπές του Αντιναρκωτικού Συμβουλίου, στην Εθνική Επιτροπή </w:t>
      </w:r>
      <w:r>
        <w:rPr>
          <w:lang w:val="en-GB"/>
        </w:rPr>
        <w:t>Anti</w:t>
      </w:r>
      <w:r>
        <w:t>-</w:t>
      </w:r>
      <w:r>
        <w:rPr>
          <w:lang w:val="en-GB"/>
        </w:rPr>
        <w:t>Doping</w:t>
      </w:r>
      <w:r>
        <w:t>.</w:t>
      </w:r>
    </w:p>
    <w:p w:rsidR="00641DE4" w:rsidRDefault="00641DE4" w:rsidP="00641DE4">
      <w:r>
        <w:t>Ο Τομέας συμμετέχει επίσης σε μεγάλο αριθμό επιτροπών και ομάδων εργασίας σε ευρωπαϊκό επίπεδο, όπως:</w:t>
      </w:r>
    </w:p>
    <w:p w:rsidR="00641DE4" w:rsidRDefault="00641DE4" w:rsidP="00641DE4">
      <w:pPr>
        <w:numPr>
          <w:ilvl w:val="0"/>
          <w:numId w:val="28"/>
        </w:numPr>
        <w:spacing w:after="60"/>
      </w:pPr>
      <w:r>
        <w:t xml:space="preserve">Επιτροπές του Ευρωπαϊκού Οργανισμού Φαρμάκων (ΕΜΑ) π.χ. </w:t>
      </w:r>
      <w:r>
        <w:rPr>
          <w:lang w:val="en-GB"/>
        </w:rPr>
        <w:t>CHMP</w:t>
      </w:r>
      <w:r>
        <w:t xml:space="preserve">, </w:t>
      </w:r>
      <w:r>
        <w:rPr>
          <w:lang w:val="en-GB"/>
        </w:rPr>
        <w:t>CAT</w:t>
      </w:r>
      <w:r>
        <w:t xml:space="preserve">, </w:t>
      </w:r>
      <w:r>
        <w:rPr>
          <w:lang w:val="en-GB"/>
        </w:rPr>
        <w:t>COMP</w:t>
      </w:r>
      <w:r>
        <w:t xml:space="preserve">, </w:t>
      </w:r>
      <w:r>
        <w:rPr>
          <w:lang w:val="en-GB"/>
        </w:rPr>
        <w:t>HMPC</w:t>
      </w:r>
      <w:r>
        <w:t xml:space="preserve">, </w:t>
      </w:r>
      <w:r>
        <w:rPr>
          <w:lang w:val="en-US"/>
        </w:rPr>
        <w:t>PEDCO</w:t>
      </w:r>
      <w:r>
        <w:t xml:space="preserve">, ΕΜΕΑ </w:t>
      </w:r>
      <w:r>
        <w:rPr>
          <w:lang w:val="en-GB"/>
        </w:rPr>
        <w:t>Management</w:t>
      </w:r>
      <w:r w:rsidRPr="00641DE4">
        <w:t xml:space="preserve"> </w:t>
      </w:r>
      <w:r>
        <w:rPr>
          <w:lang w:val="en-GB"/>
        </w:rPr>
        <w:t>Board</w:t>
      </w:r>
      <w:r>
        <w:t xml:space="preserve">, </w:t>
      </w:r>
      <w:r>
        <w:rPr>
          <w:lang w:val="en-GB"/>
        </w:rPr>
        <w:t>CMD</w:t>
      </w:r>
      <w:r>
        <w:t>(</w:t>
      </w:r>
      <w:r>
        <w:rPr>
          <w:lang w:val="en-GB"/>
        </w:rPr>
        <w:t>h</w:t>
      </w:r>
      <w:r>
        <w:t>)</w:t>
      </w:r>
    </w:p>
    <w:p w:rsidR="00641DE4" w:rsidRDefault="00641DE4" w:rsidP="00641DE4">
      <w:pPr>
        <w:numPr>
          <w:ilvl w:val="0"/>
          <w:numId w:val="28"/>
        </w:numPr>
        <w:spacing w:after="60"/>
        <w:rPr>
          <w:lang w:val="en-GB"/>
        </w:rPr>
      </w:pPr>
      <w:r>
        <w:t>Επιτροπές</w:t>
      </w:r>
      <w:r>
        <w:rPr>
          <w:lang w:val="en-GB"/>
        </w:rPr>
        <w:t xml:space="preserve"> </w:t>
      </w:r>
      <w:r>
        <w:t>του</w:t>
      </w:r>
      <w:r>
        <w:rPr>
          <w:lang w:val="en-GB"/>
        </w:rPr>
        <w:t xml:space="preserve"> </w:t>
      </w:r>
      <w:r>
        <w:t>Δικτύου</w:t>
      </w:r>
      <w:r>
        <w:rPr>
          <w:lang w:val="en-GB"/>
        </w:rPr>
        <w:t xml:space="preserve"> </w:t>
      </w:r>
      <w:r>
        <w:t>Αρχών</w:t>
      </w:r>
      <w:r>
        <w:rPr>
          <w:lang w:val="en-GB"/>
        </w:rPr>
        <w:t xml:space="preserve"> </w:t>
      </w:r>
      <w:r>
        <w:t>Φαρμάκων</w:t>
      </w:r>
      <w:r>
        <w:rPr>
          <w:lang w:val="en-GB"/>
        </w:rPr>
        <w:t>: Heads of Medicines Agencies (HMAs), WGEO, EMACOLEX</w:t>
      </w:r>
    </w:p>
    <w:p w:rsidR="00641DE4" w:rsidRDefault="00641DE4" w:rsidP="00641DE4">
      <w:pPr>
        <w:numPr>
          <w:ilvl w:val="0"/>
          <w:numId w:val="28"/>
        </w:numPr>
        <w:spacing w:after="60"/>
        <w:rPr>
          <w:lang w:val="en-GB"/>
        </w:rPr>
      </w:pPr>
      <w:r>
        <w:t>Επιτροπές</w:t>
      </w:r>
      <w:r>
        <w:rPr>
          <w:lang w:val="en-GB"/>
        </w:rPr>
        <w:t xml:space="preserve"> </w:t>
      </w:r>
      <w:r>
        <w:t>της</w:t>
      </w:r>
      <w:r>
        <w:rPr>
          <w:lang w:val="en-GB"/>
        </w:rPr>
        <w:t xml:space="preserve"> </w:t>
      </w:r>
      <w:r>
        <w:t>Ευρωπαϊκής</w:t>
      </w:r>
      <w:r>
        <w:rPr>
          <w:lang w:val="en-GB"/>
        </w:rPr>
        <w:t xml:space="preserve"> </w:t>
      </w:r>
      <w:r>
        <w:t>Επιτροπής</w:t>
      </w:r>
      <w:r>
        <w:rPr>
          <w:lang w:val="en-GB"/>
        </w:rPr>
        <w:t xml:space="preserve"> </w:t>
      </w:r>
      <w:r>
        <w:t>π</w:t>
      </w:r>
      <w:r>
        <w:rPr>
          <w:lang w:val="en-GB"/>
        </w:rPr>
        <w:t>.</w:t>
      </w:r>
      <w:r>
        <w:t>χ</w:t>
      </w:r>
      <w:r>
        <w:rPr>
          <w:lang w:val="en-GB"/>
        </w:rPr>
        <w:t>. Standing Committee, Pharmaceutical Committee, Notice to Applicants.</w:t>
      </w:r>
    </w:p>
    <w:p w:rsidR="00641DE4" w:rsidRDefault="00641DE4" w:rsidP="00641DE4">
      <w:pPr>
        <w:numPr>
          <w:ilvl w:val="0"/>
          <w:numId w:val="28"/>
        </w:numPr>
        <w:spacing w:after="60"/>
      </w:pPr>
      <w:r>
        <w:t>Επιτροπή του Συμβουλίου για Φαρμακευτικά και Ιατροτεχνολογικά προϊόντα.</w:t>
      </w:r>
    </w:p>
    <w:p w:rsidR="00641DE4" w:rsidRDefault="00641DE4" w:rsidP="00641DE4">
      <w:pPr>
        <w:numPr>
          <w:ilvl w:val="0"/>
          <w:numId w:val="28"/>
        </w:numPr>
        <w:spacing w:after="60"/>
        <w:rPr>
          <w:lang w:val="en-GB"/>
        </w:rPr>
      </w:pPr>
      <w:r>
        <w:lastRenderedPageBreak/>
        <w:t xml:space="preserve">Ομάδες Εργασίας του ΕΜΑ πχ. </w:t>
      </w:r>
      <w:r>
        <w:rPr>
          <w:lang w:val="en-GB"/>
        </w:rPr>
        <w:t>GM</w:t>
      </w:r>
      <w:r>
        <w:rPr>
          <w:lang w:val="en-US"/>
        </w:rPr>
        <w:t>D</w:t>
      </w:r>
      <w:r>
        <w:rPr>
          <w:lang w:val="en-GB"/>
        </w:rPr>
        <w:t>PIWG, Telematics, QWP, QRD, Pharmacovigilance WG</w:t>
      </w:r>
    </w:p>
    <w:p w:rsidR="00641DE4" w:rsidRDefault="00641DE4" w:rsidP="00641DE4">
      <w:pPr>
        <w:numPr>
          <w:ilvl w:val="0"/>
          <w:numId w:val="28"/>
        </w:numPr>
        <w:spacing w:after="60"/>
      </w:pPr>
      <w:r>
        <w:t>Εργαστήρια / Συναντήσεις με σκοπό την συνεργασία με τα άλλα κράτη-μέλη.</w:t>
      </w:r>
    </w:p>
    <w:p w:rsidR="00641DE4" w:rsidRDefault="00641DE4" w:rsidP="00641DE4">
      <w:pPr>
        <w:numPr>
          <w:ilvl w:val="0"/>
          <w:numId w:val="28"/>
        </w:numPr>
        <w:spacing w:after="60"/>
      </w:pPr>
      <w:r>
        <w:t>Συναντήσεις της Ευρωπαϊκής Διεύθυνσης για την Ποιότητα των Φαρμάκων (</w:t>
      </w:r>
      <w:r>
        <w:rPr>
          <w:lang w:val="en-GB"/>
        </w:rPr>
        <w:t>EDQM</w:t>
      </w:r>
      <w:r>
        <w:t>).</w:t>
      </w:r>
    </w:p>
    <w:p w:rsidR="00641DE4" w:rsidRDefault="00641DE4" w:rsidP="00641DE4">
      <w:pPr>
        <w:numPr>
          <w:ilvl w:val="0"/>
          <w:numId w:val="28"/>
        </w:numPr>
        <w:spacing w:after="60"/>
      </w:pPr>
      <w:r>
        <w:t>Εκπαιδευτικά Σεμινάρια</w:t>
      </w:r>
      <w:r>
        <w:rPr>
          <w:lang w:val="en-US"/>
        </w:rPr>
        <w:t xml:space="preserve">. </w:t>
      </w:r>
    </w:p>
    <w:p w:rsidR="00641DE4" w:rsidRDefault="00641DE4" w:rsidP="00641DE4">
      <w:pPr>
        <w:spacing w:after="60"/>
      </w:pPr>
    </w:p>
    <w:p w:rsidR="00641DE4" w:rsidRDefault="00641DE4" w:rsidP="00CE4845">
      <w:pPr>
        <w:pStyle w:val="Heading4"/>
        <w:rPr>
          <w:rFonts w:ascii="Calibri" w:hAnsi="Calibri"/>
          <w:szCs w:val="22"/>
          <w:u w:val="single"/>
        </w:rPr>
      </w:pPr>
      <w:bookmarkStart w:id="61" w:name="_Toc383086795"/>
      <w:r>
        <w:rPr>
          <w:lang w:eastAsia="en-US"/>
        </w:rPr>
        <w:t>Έλεγχος πιστοποιητικών  </w:t>
      </w:r>
      <w:r>
        <w:rPr>
          <w:lang w:val="en-US" w:eastAsia="en-US"/>
        </w:rPr>
        <w:t>OCABR</w:t>
      </w:r>
      <w:r>
        <w:rPr>
          <w:lang w:eastAsia="en-US"/>
        </w:rPr>
        <w:t xml:space="preserve"> ( </w:t>
      </w:r>
      <w:r>
        <w:rPr>
          <w:lang w:val="en-US" w:eastAsia="en-US"/>
        </w:rPr>
        <w:t>Official</w:t>
      </w:r>
      <w:r w:rsidRPr="00641DE4">
        <w:rPr>
          <w:lang w:eastAsia="en-US"/>
        </w:rPr>
        <w:t xml:space="preserve"> </w:t>
      </w:r>
      <w:r>
        <w:rPr>
          <w:lang w:val="en-US" w:eastAsia="en-US"/>
        </w:rPr>
        <w:t>Control</w:t>
      </w:r>
      <w:r w:rsidRPr="00641DE4">
        <w:rPr>
          <w:lang w:eastAsia="en-US"/>
        </w:rPr>
        <w:t xml:space="preserve"> </w:t>
      </w:r>
      <w:r>
        <w:rPr>
          <w:lang w:val="en-US" w:eastAsia="en-US"/>
        </w:rPr>
        <w:t>Authority</w:t>
      </w:r>
      <w:r w:rsidRPr="00641DE4">
        <w:rPr>
          <w:lang w:eastAsia="en-US"/>
        </w:rPr>
        <w:t xml:space="preserve"> </w:t>
      </w:r>
      <w:r>
        <w:rPr>
          <w:lang w:val="en-US" w:eastAsia="en-US"/>
        </w:rPr>
        <w:t>Batch</w:t>
      </w:r>
      <w:r w:rsidRPr="00641DE4">
        <w:rPr>
          <w:lang w:eastAsia="en-US"/>
        </w:rPr>
        <w:t xml:space="preserve"> </w:t>
      </w:r>
      <w:r>
        <w:rPr>
          <w:lang w:val="en-US" w:eastAsia="en-US"/>
        </w:rPr>
        <w:t>Release</w:t>
      </w:r>
      <w:r>
        <w:rPr>
          <w:lang w:eastAsia="en-US"/>
        </w:rPr>
        <w:t>) και πιστοποιητικών απελευθέρωσης παρτίδων για προϊόντα με βάση το αίμα ή το πλάσμα αίματος και  ανοσολογικά φαρμακευτικά προϊόντα</w:t>
      </w:r>
      <w:r>
        <w:rPr>
          <w:rFonts w:ascii="Calibri" w:hAnsi="Calibri"/>
          <w:szCs w:val="22"/>
          <w:lang w:eastAsia="en-US"/>
        </w:rPr>
        <w:t>.</w:t>
      </w:r>
      <w:bookmarkEnd w:id="61"/>
      <w:r>
        <w:rPr>
          <w:rFonts w:ascii="Calibri" w:hAnsi="Calibri"/>
          <w:szCs w:val="22"/>
          <w:u w:val="single"/>
        </w:rPr>
        <w:t xml:space="preserve"> </w:t>
      </w:r>
    </w:p>
    <w:p w:rsidR="00641DE4" w:rsidRDefault="00641DE4" w:rsidP="00641DE4">
      <w:pPr>
        <w:rPr>
          <w:sz w:val="14"/>
        </w:rPr>
      </w:pPr>
    </w:p>
    <w:p w:rsidR="00641DE4" w:rsidRDefault="00641DE4" w:rsidP="00641DE4">
      <w:pPr>
        <w:spacing w:after="0"/>
        <w:rPr>
          <w:lang w:eastAsia="en-US"/>
        </w:rPr>
      </w:pPr>
      <w:r>
        <w:rPr>
          <w:lang w:eastAsia="en-US"/>
        </w:rPr>
        <w:t>Το Συμβούλιο Φαρμάκων ελέγχει τις παρτίδες των προϊόντων με βάση το ανθρώπινο αίμα και των ανοσολογικών προϊόντων πριν την απελευθέρωση τους στην  Κυπριακή αγορά για να διασφαλίσει την ασφάλεια και την ποιότητα τους. Τα εν λόγω προϊόντα υποβάλλονται σε επιπλέον ελέγχους από επίσημα εργαστήρια των κρατών μελών (</w:t>
      </w:r>
      <w:r>
        <w:rPr>
          <w:lang w:val="en-US" w:eastAsia="en-US"/>
        </w:rPr>
        <w:t>Official</w:t>
      </w:r>
      <w:r w:rsidRPr="00641DE4">
        <w:rPr>
          <w:lang w:eastAsia="en-US"/>
        </w:rPr>
        <w:t xml:space="preserve"> </w:t>
      </w:r>
      <w:r>
        <w:rPr>
          <w:lang w:val="en-US" w:eastAsia="en-US"/>
        </w:rPr>
        <w:t>Medicines</w:t>
      </w:r>
      <w:r w:rsidRPr="00641DE4">
        <w:rPr>
          <w:lang w:eastAsia="en-US"/>
        </w:rPr>
        <w:t xml:space="preserve"> </w:t>
      </w:r>
      <w:r>
        <w:rPr>
          <w:lang w:val="en-US" w:eastAsia="en-US"/>
        </w:rPr>
        <w:t>Control</w:t>
      </w:r>
      <w:r w:rsidRPr="00641DE4">
        <w:rPr>
          <w:lang w:eastAsia="en-US"/>
        </w:rPr>
        <w:t xml:space="preserve"> </w:t>
      </w:r>
      <w:r>
        <w:rPr>
          <w:lang w:val="en-US" w:eastAsia="en-US"/>
        </w:rPr>
        <w:t>Laboratories</w:t>
      </w:r>
      <w:r>
        <w:rPr>
          <w:lang w:eastAsia="en-US"/>
        </w:rPr>
        <w:t xml:space="preserve"> -</w:t>
      </w:r>
      <w:r>
        <w:rPr>
          <w:lang w:val="en-US" w:eastAsia="en-US"/>
        </w:rPr>
        <w:t>OMCLs</w:t>
      </w:r>
      <w:r>
        <w:rPr>
          <w:lang w:eastAsia="en-US"/>
        </w:rPr>
        <w:t xml:space="preserve">) και  γίνεται έλεγχος από το Σ.Φ. στα πιστοποιητικά κάθε παρτίδας προϊόντος ώστε να διασφαλίζεται ότι έγιναν επιτυχώς όλοι οι απαραίτητοι έλεγχοι στα προϊόντα καθώς και η απουσία πιθανών παθογόνων οργανισμών (π.χ. </w:t>
      </w:r>
      <w:r>
        <w:rPr>
          <w:lang w:val="en-US" w:eastAsia="en-US"/>
        </w:rPr>
        <w:t>HIV</w:t>
      </w:r>
      <w:r>
        <w:rPr>
          <w:lang w:eastAsia="en-US"/>
        </w:rPr>
        <w:t xml:space="preserve">, </w:t>
      </w:r>
      <w:r>
        <w:rPr>
          <w:lang w:val="en-US" w:eastAsia="en-US"/>
        </w:rPr>
        <w:t>Hep</w:t>
      </w:r>
      <w:r>
        <w:rPr>
          <w:lang w:eastAsia="en-US"/>
        </w:rPr>
        <w:t xml:space="preserve">. </w:t>
      </w:r>
      <w:r>
        <w:rPr>
          <w:lang w:val="en-US" w:eastAsia="en-US"/>
        </w:rPr>
        <w:t>B</w:t>
      </w:r>
      <w:r>
        <w:rPr>
          <w:lang w:eastAsia="en-US"/>
        </w:rPr>
        <w:t xml:space="preserve">. </w:t>
      </w:r>
      <w:r>
        <w:rPr>
          <w:lang w:val="en-US" w:eastAsia="en-US"/>
        </w:rPr>
        <w:t>Hep</w:t>
      </w:r>
      <w:r w:rsidRPr="00641DE4">
        <w:rPr>
          <w:lang w:eastAsia="en-US"/>
        </w:rPr>
        <w:t xml:space="preserve"> </w:t>
      </w:r>
      <w:r>
        <w:rPr>
          <w:lang w:val="en-US" w:eastAsia="en-US"/>
        </w:rPr>
        <w:t>C</w:t>
      </w:r>
      <w:r>
        <w:rPr>
          <w:lang w:eastAsia="en-US"/>
        </w:rPr>
        <w:t xml:space="preserve">. </w:t>
      </w:r>
      <w:r>
        <w:rPr>
          <w:lang w:val="en-US" w:eastAsia="en-US"/>
        </w:rPr>
        <w:t>Parvo</w:t>
      </w:r>
      <w:r w:rsidRPr="00641DE4">
        <w:rPr>
          <w:lang w:eastAsia="en-US"/>
        </w:rPr>
        <w:t xml:space="preserve"> </w:t>
      </w:r>
      <w:r>
        <w:rPr>
          <w:lang w:val="en-US" w:eastAsia="en-US"/>
        </w:rPr>
        <w:t>Virus</w:t>
      </w:r>
      <w:r w:rsidRPr="00641DE4">
        <w:rPr>
          <w:lang w:eastAsia="en-US"/>
        </w:rPr>
        <w:t xml:space="preserve"> </w:t>
      </w:r>
      <w:r>
        <w:rPr>
          <w:lang w:val="en-US" w:eastAsia="en-US"/>
        </w:rPr>
        <w:t>etc</w:t>
      </w:r>
      <w:r>
        <w:rPr>
          <w:lang w:eastAsia="en-US"/>
        </w:rPr>
        <w:t>).</w:t>
      </w:r>
    </w:p>
    <w:p w:rsidR="00641DE4" w:rsidRDefault="00641DE4" w:rsidP="00641DE4">
      <w:pPr>
        <w:spacing w:after="0"/>
        <w:rPr>
          <w:lang w:eastAsia="en-US"/>
        </w:rPr>
      </w:pPr>
    </w:p>
    <w:tbl>
      <w:tblPr>
        <w:tblW w:w="9072" w:type="dxa"/>
        <w:tblInd w:w="108" w:type="dxa"/>
        <w:tblLayout w:type="fixed"/>
        <w:tblLook w:val="04A0"/>
      </w:tblPr>
      <w:tblGrid>
        <w:gridCol w:w="3280"/>
        <w:gridCol w:w="1600"/>
        <w:gridCol w:w="1600"/>
        <w:gridCol w:w="1600"/>
        <w:gridCol w:w="992"/>
      </w:tblGrid>
      <w:tr w:rsidR="00641DE4" w:rsidTr="00F94DDB">
        <w:trPr>
          <w:trHeight w:val="960"/>
        </w:trPr>
        <w:tc>
          <w:tcPr>
            <w:tcW w:w="9072" w:type="dxa"/>
            <w:gridSpan w:val="5"/>
            <w:tcBorders>
              <w:top w:val="nil"/>
              <w:left w:val="nil"/>
              <w:bottom w:val="double" w:sz="6" w:space="0" w:color="auto"/>
              <w:right w:val="nil"/>
            </w:tcBorders>
            <w:vAlign w:val="bottom"/>
            <w:hideMark/>
          </w:tcPr>
          <w:p w:rsidR="00641DE4" w:rsidRDefault="00641DE4">
            <w:pPr>
              <w:spacing w:line="276" w:lineRule="auto"/>
              <w:jc w:val="left"/>
              <w:rPr>
                <w:b/>
                <w:bCs/>
                <w:color w:val="000000"/>
                <w:lang w:eastAsia="en-US"/>
              </w:rPr>
            </w:pPr>
            <w:r>
              <w:rPr>
                <w:b/>
                <w:bCs/>
                <w:color w:val="000000"/>
                <w:sz w:val="22"/>
                <w:szCs w:val="22"/>
                <w:lang w:eastAsia="en-US"/>
              </w:rPr>
              <w:t xml:space="preserve">Πίνακας </w:t>
            </w:r>
            <w:r w:rsidR="002D183B">
              <w:rPr>
                <w:b/>
                <w:iCs/>
                <w:lang w:eastAsia="en-US"/>
              </w:rPr>
              <w:t>1.2.2</w:t>
            </w:r>
            <w:r w:rsidR="002D183B">
              <w:rPr>
                <w:b/>
                <w:bCs/>
                <w:color w:val="000000"/>
                <w:sz w:val="22"/>
                <w:szCs w:val="22"/>
                <w:lang w:eastAsia="en-US"/>
              </w:rPr>
              <w:t>.10</w:t>
            </w:r>
            <w:r>
              <w:rPr>
                <w:b/>
                <w:bCs/>
                <w:color w:val="000000"/>
                <w:sz w:val="22"/>
                <w:szCs w:val="22"/>
                <w:lang w:eastAsia="en-US"/>
              </w:rPr>
              <w:t>: Έλεγχος πιστοποιητικών  OCABR ( Official Control Authority Batch Release) και πιστοποιητικών απελευθέρωσης παρτίδων για προϊόντα με βάση το αίμα ή το πλάσμα αίματος και  ανοσολογικά φαρμακευτικά προϊόντα</w:t>
            </w:r>
          </w:p>
        </w:tc>
      </w:tr>
      <w:tr w:rsidR="00641DE4" w:rsidTr="00F94DDB">
        <w:trPr>
          <w:trHeight w:val="330"/>
        </w:trPr>
        <w:tc>
          <w:tcPr>
            <w:tcW w:w="3280"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 </w:t>
            </w:r>
          </w:p>
        </w:tc>
        <w:tc>
          <w:tcPr>
            <w:tcW w:w="1600"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2009</w:t>
            </w:r>
          </w:p>
        </w:tc>
        <w:tc>
          <w:tcPr>
            <w:tcW w:w="1600"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2010</w:t>
            </w:r>
          </w:p>
        </w:tc>
        <w:tc>
          <w:tcPr>
            <w:tcW w:w="1600"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2011</w:t>
            </w:r>
          </w:p>
        </w:tc>
        <w:tc>
          <w:tcPr>
            <w:tcW w:w="992" w:type="dxa"/>
            <w:tcBorders>
              <w:top w:val="nil"/>
              <w:left w:val="nil"/>
              <w:bottom w:val="single" w:sz="8"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2012</w:t>
            </w:r>
          </w:p>
        </w:tc>
      </w:tr>
      <w:tr w:rsidR="00641DE4" w:rsidTr="00F94DDB">
        <w:trPr>
          <w:trHeight w:val="480"/>
        </w:trPr>
        <w:tc>
          <w:tcPr>
            <w:tcW w:w="3280"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 </w:t>
            </w:r>
          </w:p>
        </w:tc>
        <w:tc>
          <w:tcPr>
            <w:tcW w:w="1600"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Αρ. Πιστοποιητικών</w:t>
            </w:r>
          </w:p>
        </w:tc>
        <w:tc>
          <w:tcPr>
            <w:tcW w:w="1600"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Αρ. Πιστοποιητικών</w:t>
            </w:r>
          </w:p>
        </w:tc>
        <w:tc>
          <w:tcPr>
            <w:tcW w:w="1600"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Αρ. Πιστοποιητικών</w:t>
            </w:r>
          </w:p>
        </w:tc>
        <w:tc>
          <w:tcPr>
            <w:tcW w:w="992" w:type="dxa"/>
            <w:tcBorders>
              <w:top w:val="nil"/>
              <w:left w:val="nil"/>
              <w:bottom w:val="single" w:sz="4" w:space="0" w:color="auto"/>
              <w:right w:val="nil"/>
            </w:tcBorders>
            <w:vAlign w:val="center"/>
            <w:hideMark/>
          </w:tcPr>
          <w:p w:rsidR="00641DE4" w:rsidRDefault="00641DE4">
            <w:pPr>
              <w:spacing w:after="0" w:line="276" w:lineRule="auto"/>
              <w:jc w:val="center"/>
              <w:rPr>
                <w:b/>
                <w:bCs/>
                <w:color w:val="000000"/>
                <w:sz w:val="18"/>
                <w:szCs w:val="18"/>
                <w:lang w:eastAsia="en-US"/>
              </w:rPr>
            </w:pPr>
            <w:r>
              <w:rPr>
                <w:b/>
                <w:bCs/>
                <w:color w:val="000000"/>
                <w:sz w:val="18"/>
                <w:szCs w:val="18"/>
                <w:lang w:eastAsia="en-US"/>
              </w:rPr>
              <w:t>Αρ. Πιστοποιητικών</w:t>
            </w:r>
          </w:p>
        </w:tc>
      </w:tr>
      <w:tr w:rsidR="00641DE4" w:rsidTr="00F94DDB">
        <w:trPr>
          <w:trHeight w:val="645"/>
        </w:trPr>
        <w:tc>
          <w:tcPr>
            <w:tcW w:w="3280" w:type="dxa"/>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 xml:space="preserve">Προϊόντα με βάση το ανθρώπινο αίμα ή πλάσμα αίματος </w:t>
            </w:r>
          </w:p>
        </w:tc>
        <w:tc>
          <w:tcPr>
            <w:tcW w:w="1600"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85</w:t>
            </w:r>
          </w:p>
        </w:tc>
        <w:tc>
          <w:tcPr>
            <w:tcW w:w="1600"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79</w:t>
            </w:r>
          </w:p>
        </w:tc>
        <w:tc>
          <w:tcPr>
            <w:tcW w:w="1600"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76</w:t>
            </w:r>
          </w:p>
        </w:tc>
        <w:tc>
          <w:tcPr>
            <w:tcW w:w="992" w:type="dxa"/>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75</w:t>
            </w:r>
          </w:p>
        </w:tc>
      </w:tr>
      <w:tr w:rsidR="00641DE4" w:rsidTr="00F94DDB">
        <w:trPr>
          <w:trHeight w:val="645"/>
        </w:trPr>
        <w:tc>
          <w:tcPr>
            <w:tcW w:w="3280" w:type="dxa"/>
            <w:tcBorders>
              <w:top w:val="nil"/>
              <w:left w:val="nil"/>
              <w:bottom w:val="double" w:sz="6" w:space="0" w:color="auto"/>
              <w:right w:val="nil"/>
            </w:tcBorders>
            <w:vAlign w:val="center"/>
            <w:hideMark/>
          </w:tcPr>
          <w:p w:rsidR="00641DE4" w:rsidRDefault="00641DE4">
            <w:pPr>
              <w:spacing w:after="0" w:line="276" w:lineRule="auto"/>
              <w:jc w:val="left"/>
              <w:rPr>
                <w:b/>
                <w:bCs/>
                <w:color w:val="000000"/>
                <w:sz w:val="18"/>
                <w:szCs w:val="18"/>
                <w:lang w:eastAsia="en-US"/>
              </w:rPr>
            </w:pPr>
            <w:r>
              <w:rPr>
                <w:b/>
                <w:bCs/>
                <w:color w:val="000000"/>
                <w:sz w:val="18"/>
                <w:szCs w:val="18"/>
                <w:lang w:eastAsia="en-US"/>
              </w:rPr>
              <w:t>Ανοσολογικά φαρμακευτικά προϊόντα</w:t>
            </w:r>
          </w:p>
        </w:tc>
        <w:tc>
          <w:tcPr>
            <w:tcW w:w="1600"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190</w:t>
            </w:r>
          </w:p>
        </w:tc>
        <w:tc>
          <w:tcPr>
            <w:tcW w:w="1600"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152</w:t>
            </w:r>
          </w:p>
        </w:tc>
        <w:tc>
          <w:tcPr>
            <w:tcW w:w="1600"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150</w:t>
            </w:r>
          </w:p>
        </w:tc>
        <w:tc>
          <w:tcPr>
            <w:tcW w:w="992" w:type="dxa"/>
            <w:tcBorders>
              <w:top w:val="nil"/>
              <w:left w:val="nil"/>
              <w:bottom w:val="double" w:sz="6" w:space="0" w:color="auto"/>
              <w:right w:val="nil"/>
            </w:tcBorders>
            <w:vAlign w:val="center"/>
            <w:hideMark/>
          </w:tcPr>
          <w:p w:rsidR="00641DE4" w:rsidRDefault="00641DE4">
            <w:pPr>
              <w:spacing w:after="0" w:line="276" w:lineRule="auto"/>
              <w:jc w:val="center"/>
              <w:rPr>
                <w:color w:val="000000"/>
                <w:sz w:val="18"/>
                <w:szCs w:val="18"/>
                <w:lang w:eastAsia="en-US"/>
              </w:rPr>
            </w:pPr>
            <w:r>
              <w:rPr>
                <w:color w:val="000000"/>
                <w:sz w:val="18"/>
                <w:szCs w:val="18"/>
                <w:lang w:eastAsia="en-US"/>
              </w:rPr>
              <w:t>170</w:t>
            </w:r>
          </w:p>
        </w:tc>
      </w:tr>
    </w:tbl>
    <w:p w:rsidR="00641DE4" w:rsidRDefault="00641DE4" w:rsidP="00641DE4">
      <w:pPr>
        <w:spacing w:after="0"/>
        <w:jc w:val="left"/>
        <w:rPr>
          <w:lang w:val="en-US" w:eastAsia="en-US"/>
        </w:rPr>
      </w:pPr>
    </w:p>
    <w:p w:rsidR="00641DE4" w:rsidRPr="00D706E2" w:rsidRDefault="00641DE4" w:rsidP="00D706E2">
      <w:pPr>
        <w:spacing w:after="0"/>
        <w:jc w:val="left"/>
        <w:rPr>
          <w:lang w:val="en-US" w:eastAsia="en-US"/>
        </w:rPr>
      </w:pPr>
      <w:r>
        <w:rPr>
          <w:noProof/>
          <w:lang w:val="en-US" w:eastAsia="en-US"/>
        </w:rPr>
        <w:drawing>
          <wp:inline distT="0" distB="0" distL="0" distR="0">
            <wp:extent cx="5755341" cy="2707341"/>
            <wp:effectExtent l="0" t="0" r="1714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4B3" w:rsidRDefault="0094300F" w:rsidP="003C02BD">
      <w:pPr>
        <w:pStyle w:val="Heading3"/>
      </w:pPr>
      <w:bookmarkStart w:id="62" w:name="_Toc383086796"/>
      <w:r>
        <w:lastRenderedPageBreak/>
        <w:t>Τομέας Επιθεώρησ</w:t>
      </w:r>
      <w:r w:rsidR="007174B3">
        <w:t>ης</w:t>
      </w:r>
      <w:bookmarkEnd w:id="62"/>
    </w:p>
    <w:p w:rsidR="002D183B" w:rsidRDefault="002D183B" w:rsidP="00F94DDB">
      <w:pPr>
        <w:jc w:val="center"/>
        <w:rPr>
          <w:i/>
          <w:highlight w:val="yellow"/>
        </w:rPr>
      </w:pPr>
      <w:r>
        <w:object w:dxaOrig="8640" w:dyaOrig="7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63.55pt" o:ole="">
            <v:imagedata r:id="rId24" o:title=""/>
          </v:shape>
          <o:OLEObject Type="Embed" ProgID="Visio.Drawing.11" ShapeID="_x0000_i1025" DrawAspect="Content" ObjectID="_1462860133" r:id="rId25"/>
        </w:object>
      </w:r>
    </w:p>
    <w:p w:rsidR="002D183B" w:rsidRDefault="002D183B" w:rsidP="00CE4845">
      <w:pPr>
        <w:pStyle w:val="Heading4"/>
      </w:pPr>
      <w:bookmarkStart w:id="63" w:name="_Toc227378414"/>
      <w:bookmarkStart w:id="64" w:name="_Toc383086797"/>
      <w:r>
        <w:t>Έλεγχος Ιδιωτικών Φαρμακείων</w:t>
      </w:r>
      <w:bookmarkEnd w:id="63"/>
      <w:bookmarkEnd w:id="64"/>
      <w:r>
        <w:t xml:space="preserve"> </w:t>
      </w:r>
    </w:p>
    <w:p w:rsidR="002D183B" w:rsidRDefault="002D183B" w:rsidP="002D183B">
      <w:r>
        <w:t xml:space="preserve">Κατά το 2012 έγιναν 184 επιθεωρήσεις (προγραμματισμένες και έκτακτες) των 473 ιδιωτικών φαρμακείων που λειτουργούσαν κατά την διάρκεια του έτους. </w:t>
      </w:r>
    </w:p>
    <w:p w:rsidR="002D183B" w:rsidRDefault="002D183B" w:rsidP="00CE4845">
      <w:pPr>
        <w:pStyle w:val="Heading4"/>
      </w:pPr>
      <w:bookmarkStart w:id="65" w:name="_Toc227378415"/>
      <w:bookmarkStart w:id="66" w:name="_Toc383086798"/>
      <w:r>
        <w:t>Έγκριση λειτουργίας Νέων Φαρμακείων</w:t>
      </w:r>
      <w:bookmarkEnd w:id="65"/>
      <w:bookmarkEnd w:id="66"/>
      <w:r>
        <w:t xml:space="preserve"> </w:t>
      </w:r>
    </w:p>
    <w:p w:rsidR="002D183B" w:rsidRDefault="002D183B" w:rsidP="002D183B">
      <w:r>
        <w:t>Δόθηκε άδεια λειτουργίας σε 11 νέα φαρμακεία, διαδικασία για την οποία απαιτούνται 3 επιθεωρήσεις προτού εγκριθεί η λειτουργία νέου φαρμακείου.</w:t>
      </w:r>
    </w:p>
    <w:p w:rsidR="002D183B" w:rsidRDefault="002D183B" w:rsidP="00CE4845">
      <w:pPr>
        <w:pStyle w:val="Heading4"/>
      </w:pPr>
      <w:bookmarkStart w:id="67" w:name="_Toc227378416"/>
      <w:bookmarkStart w:id="68" w:name="_Toc383086799"/>
      <w:r>
        <w:t>Αναστολή Λειτουργίας Φαρμακείων</w:t>
      </w:r>
      <w:bookmarkEnd w:id="67"/>
      <w:bookmarkEnd w:id="68"/>
      <w:r>
        <w:t xml:space="preserve"> </w:t>
      </w:r>
    </w:p>
    <w:p w:rsidR="002D183B" w:rsidRDefault="002D183B" w:rsidP="002D183B">
      <w:r>
        <w:t xml:space="preserve">Αναστάληκε η λειτουργία </w:t>
      </w:r>
      <w:r>
        <w:rPr>
          <w:lang w:val="en-GB"/>
        </w:rPr>
        <w:t>2</w:t>
      </w:r>
      <w:r>
        <w:t xml:space="preserve"> φαρμακείων. </w:t>
      </w:r>
    </w:p>
    <w:p w:rsidR="002D183B" w:rsidRDefault="002D183B" w:rsidP="00CE4845">
      <w:pPr>
        <w:pStyle w:val="Heading4"/>
      </w:pPr>
      <w:bookmarkStart w:id="69" w:name="_Toc227378417"/>
      <w:bookmarkStart w:id="70" w:name="_Toc383086800"/>
      <w:r>
        <w:t>Τήρηση Μητρώου Φαρμακείων</w:t>
      </w:r>
      <w:bookmarkEnd w:id="69"/>
      <w:bookmarkEnd w:id="70"/>
      <w:r>
        <w:t xml:space="preserve"> </w:t>
      </w:r>
    </w:p>
    <w:p w:rsidR="002D183B" w:rsidRDefault="002D183B" w:rsidP="002D183B">
      <w:r>
        <w:t>Ενημέρωση του Μητρώου στο ηλεκτρονικό πρόγραμμα.</w:t>
      </w:r>
    </w:p>
    <w:p w:rsidR="002D183B" w:rsidRDefault="002D183B" w:rsidP="00CE4845">
      <w:pPr>
        <w:pStyle w:val="Heading4"/>
      </w:pPr>
      <w:bookmarkStart w:id="71" w:name="_Toc227378418"/>
      <w:bookmarkStart w:id="72" w:name="_Toc383086801"/>
      <w:r>
        <w:t>Εγγραφή Νέων Φαρμακοποιών και τήρηση του Μητρώου</w:t>
      </w:r>
      <w:bookmarkEnd w:id="71"/>
      <w:bookmarkEnd w:id="72"/>
      <w:r>
        <w:t xml:space="preserve"> </w:t>
      </w:r>
    </w:p>
    <w:p w:rsidR="002D183B" w:rsidRDefault="002D183B" w:rsidP="002D183B">
      <w:r>
        <w:t xml:space="preserve">Κατά το 2012 έγιναν 4 φορές εξετάσεις Δικαστικής Φαρμακευτικής και δόθηκε άδεια εξασκήσεως επαγγέλματος από το Συμβούλιο Φαρμακευτικής σε 128 νέους φαρμακοποιούς. </w:t>
      </w:r>
    </w:p>
    <w:p w:rsidR="002D183B" w:rsidRDefault="002D183B" w:rsidP="00CE4845">
      <w:pPr>
        <w:pStyle w:val="Heading4"/>
      </w:pPr>
      <w:bookmarkStart w:id="73" w:name="_Toc227378419"/>
      <w:bookmarkStart w:id="74" w:name="_Toc383086802"/>
      <w:r>
        <w:lastRenderedPageBreak/>
        <w:t>Ετοιμασία και Δημοσίευση Διημερεύσεων Ιδιωτικών Φαρμακείων</w:t>
      </w:r>
      <w:bookmarkEnd w:id="73"/>
      <w:bookmarkEnd w:id="74"/>
      <w:r>
        <w:t xml:space="preserve"> </w:t>
      </w:r>
    </w:p>
    <w:p w:rsidR="002D183B" w:rsidRDefault="002D183B" w:rsidP="002D183B">
      <w:r>
        <w:t xml:space="preserve">Ετοιμάστηκαν σε συνεννόηση με τους τοπικούς Φαρμακευτικούς Συλλόγους οι διημερεύσεις των ιδιωτικών φαρμακείων των πόλεων, οι οποίες δημοσιεύτηκαν στην Επίσημη Εφημερίδα της Κυπριακής Δημοκρατίας. </w:t>
      </w:r>
    </w:p>
    <w:p w:rsidR="002D183B" w:rsidRDefault="002D183B" w:rsidP="00CE4845">
      <w:pPr>
        <w:pStyle w:val="Heading4"/>
      </w:pPr>
      <w:bookmarkStart w:id="75" w:name="_Toc227378420"/>
      <w:bookmarkStart w:id="76" w:name="_Toc383086803"/>
      <w:r>
        <w:t>Ετοιμασία και Δημοσίευση των Καλοκαιρινών Αδειών των Φαρμακείων</w:t>
      </w:r>
      <w:bookmarkEnd w:id="75"/>
      <w:bookmarkEnd w:id="76"/>
      <w:r>
        <w:t xml:space="preserve"> </w:t>
      </w:r>
    </w:p>
    <w:p w:rsidR="002D183B" w:rsidRDefault="002D183B" w:rsidP="002D183B">
      <w:r>
        <w:t xml:space="preserve">Ετοιμάστηκαν σε συνεννόηση με τους τοπικούς Φαρμακευτικούς Συλλόγους οι καλοκαιρινές άδειες των ιδιωτικών φαρμακείων των πόλεων Λευκωσίας, Λεμεσού και Λάρνακας, οι οποίες δημοσιεύτηκαν στην Επίσημη Εφημερίδα της Κυπριακής Δημοκρατίας. </w:t>
      </w:r>
    </w:p>
    <w:p w:rsidR="002D183B" w:rsidRDefault="002D183B" w:rsidP="00CE4845">
      <w:pPr>
        <w:pStyle w:val="Heading4"/>
      </w:pPr>
      <w:bookmarkStart w:id="77" w:name="_Toc227378421"/>
      <w:bookmarkStart w:id="78" w:name="_Toc383086804"/>
      <w:r>
        <w:t>Έκδοση Αδειών Εισαγωγής Ναρκωτικών Φαρμάκων, Ψυχοτρόπων και Πρόδρομων Ουσιών/ Άδειες Εξαγωγής Ναρκωτικών Φαρμάκων και Ψυχοτρόπων Ουσιών</w:t>
      </w:r>
      <w:bookmarkEnd w:id="77"/>
      <w:bookmarkEnd w:id="78"/>
      <w:r>
        <w:t xml:space="preserve"> </w:t>
      </w:r>
    </w:p>
    <w:p w:rsidR="002D183B" w:rsidRDefault="002D183B" w:rsidP="002D183B">
      <w:pPr>
        <w:spacing w:after="60"/>
      </w:pPr>
      <w:r>
        <w:t>Κατά το 2012 εκδόθηκαν 84 άδειες εισαγωγής ναρκωτικών φαρμάκων, 236 άδειες εισαγωγής ψυχοτρόπων ουσιών και 10 άδειες εισαγωγής πρόδρομων ουσιών. Επίσης κατά το 2012 εκδόθηκαν 31 άδειες εξαγωγής ναρκωτικών φαρμάκων και 228 άδειες εξαγωγής ψυχοτρόπων ουσιών.</w:t>
      </w:r>
    </w:p>
    <w:p w:rsidR="002D183B" w:rsidRDefault="002D183B" w:rsidP="002D183B">
      <w:pPr>
        <w:spacing w:before="60"/>
      </w:pPr>
      <w:r>
        <w:t>Πίνακας 1.2.3.8.α:</w:t>
      </w:r>
      <w:r>
        <w:rPr>
          <w:b/>
          <w:i/>
        </w:rPr>
        <w:t xml:space="preserve"> </w:t>
      </w:r>
      <w:r>
        <w:t xml:space="preserve">Άδειες Εισαγωγής και Εξαγωγής Ναρκωτικών και Ψυχοτρόπων </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859"/>
        <w:gridCol w:w="859"/>
        <w:gridCol w:w="859"/>
        <w:gridCol w:w="859"/>
        <w:gridCol w:w="859"/>
        <w:gridCol w:w="859"/>
      </w:tblGrid>
      <w:tr w:rsidR="002D183B" w:rsidTr="002D183B">
        <w:tc>
          <w:tcPr>
            <w:tcW w:w="4170" w:type="dxa"/>
            <w:tcBorders>
              <w:top w:val="nil"/>
              <w:left w:val="nil"/>
              <w:bottom w:val="double" w:sz="4" w:space="0" w:color="auto"/>
              <w:right w:val="double" w:sz="4" w:space="0" w:color="auto"/>
            </w:tcBorders>
          </w:tcPr>
          <w:p w:rsidR="002D183B" w:rsidRPr="002D183B" w:rsidRDefault="002D183B">
            <w:pPr>
              <w:spacing w:line="276" w:lineRule="auto"/>
              <w:rPr>
                <w:lang w:eastAsia="en-US"/>
              </w:rPr>
            </w:pP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US" w:eastAsia="en-US"/>
              </w:rPr>
            </w:pPr>
            <w:r>
              <w:rPr>
                <w:lang w:val="en-US" w:eastAsia="en-US"/>
              </w:rPr>
              <w:t>2007</w:t>
            </w: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GB" w:eastAsia="en-US"/>
              </w:rPr>
            </w:pPr>
            <w:r>
              <w:rPr>
                <w:lang w:val="en-GB" w:eastAsia="en-US"/>
              </w:rPr>
              <w:t>2008</w:t>
            </w: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US" w:eastAsia="en-US"/>
              </w:rPr>
            </w:pPr>
            <w:r>
              <w:rPr>
                <w:lang w:val="en-US" w:eastAsia="en-US"/>
              </w:rPr>
              <w:t>2009</w:t>
            </w: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US" w:eastAsia="en-US"/>
              </w:rPr>
            </w:pPr>
            <w:r>
              <w:rPr>
                <w:lang w:val="en-US" w:eastAsia="en-US"/>
              </w:rPr>
              <w:t>2010</w:t>
            </w: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GB" w:eastAsia="en-US"/>
              </w:rPr>
            </w:pPr>
            <w:r>
              <w:rPr>
                <w:lang w:val="en-GB" w:eastAsia="en-US"/>
              </w:rPr>
              <w:t>2011</w:t>
            </w:r>
          </w:p>
        </w:tc>
        <w:tc>
          <w:tcPr>
            <w:tcW w:w="859" w:type="dxa"/>
            <w:tcBorders>
              <w:top w:val="double" w:sz="4" w:space="0" w:color="auto"/>
              <w:left w:val="double" w:sz="4" w:space="0" w:color="auto"/>
              <w:bottom w:val="single" w:sz="4" w:space="0" w:color="auto"/>
              <w:right w:val="double" w:sz="4" w:space="0" w:color="auto"/>
            </w:tcBorders>
            <w:shd w:val="clear" w:color="auto" w:fill="C0C0C0"/>
            <w:hideMark/>
          </w:tcPr>
          <w:p w:rsidR="002D183B" w:rsidRDefault="002D183B">
            <w:pPr>
              <w:spacing w:line="276" w:lineRule="auto"/>
              <w:jc w:val="center"/>
              <w:rPr>
                <w:lang w:val="en-GB" w:eastAsia="en-US"/>
              </w:rPr>
            </w:pPr>
            <w:r>
              <w:rPr>
                <w:lang w:val="en-GB" w:eastAsia="en-US"/>
              </w:rPr>
              <w:t>2012</w:t>
            </w:r>
          </w:p>
        </w:tc>
      </w:tr>
      <w:tr w:rsidR="002D183B" w:rsidTr="002D183B">
        <w:tc>
          <w:tcPr>
            <w:tcW w:w="4170" w:type="dxa"/>
            <w:tcBorders>
              <w:top w:val="double" w:sz="4" w:space="0" w:color="auto"/>
              <w:left w:val="double" w:sz="4" w:space="0" w:color="auto"/>
              <w:bottom w:val="single" w:sz="4" w:space="0" w:color="auto"/>
              <w:right w:val="single" w:sz="4" w:space="0" w:color="auto"/>
            </w:tcBorders>
            <w:shd w:val="clear" w:color="auto" w:fill="C0C0C0"/>
            <w:hideMark/>
          </w:tcPr>
          <w:p w:rsidR="002D183B" w:rsidRDefault="002D183B">
            <w:pPr>
              <w:spacing w:line="276" w:lineRule="auto"/>
              <w:rPr>
                <w:lang w:val="en-US" w:eastAsia="en-US"/>
              </w:rPr>
            </w:pPr>
            <w:r>
              <w:rPr>
                <w:sz w:val="22"/>
                <w:szCs w:val="22"/>
                <w:lang w:val="en-US" w:eastAsia="en-US"/>
              </w:rPr>
              <w:t xml:space="preserve">Άδειες Εισαγωγής Ναρκωτικών Φαρμάκων </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96</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95</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84</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89</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96</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84</w:t>
            </w:r>
          </w:p>
        </w:tc>
      </w:tr>
      <w:tr w:rsidR="002D183B" w:rsidTr="002D183B">
        <w:tc>
          <w:tcPr>
            <w:tcW w:w="4170" w:type="dxa"/>
            <w:tcBorders>
              <w:top w:val="single" w:sz="4" w:space="0" w:color="auto"/>
              <w:left w:val="double" w:sz="4" w:space="0" w:color="auto"/>
              <w:bottom w:val="single" w:sz="4" w:space="0" w:color="auto"/>
              <w:right w:val="single" w:sz="4" w:space="0" w:color="auto"/>
            </w:tcBorders>
            <w:shd w:val="clear" w:color="auto" w:fill="C0C0C0"/>
            <w:hideMark/>
          </w:tcPr>
          <w:p w:rsidR="002D183B" w:rsidRDefault="002D183B">
            <w:pPr>
              <w:spacing w:line="276" w:lineRule="auto"/>
              <w:rPr>
                <w:sz w:val="22"/>
                <w:szCs w:val="22"/>
                <w:lang w:val="en-GB" w:eastAsia="en-US"/>
              </w:rPr>
            </w:pPr>
            <w:r>
              <w:rPr>
                <w:sz w:val="22"/>
                <w:szCs w:val="22"/>
                <w:lang w:val="en-US" w:eastAsia="en-US"/>
              </w:rPr>
              <w:t>Άδειες Εξαγωγής</w:t>
            </w:r>
            <w:r>
              <w:rPr>
                <w:sz w:val="22"/>
                <w:szCs w:val="22"/>
                <w:lang w:val="en-GB" w:eastAsia="en-US"/>
              </w:rPr>
              <w:t xml:space="preserve"> </w:t>
            </w:r>
            <w:r>
              <w:rPr>
                <w:sz w:val="22"/>
                <w:szCs w:val="22"/>
                <w:lang w:val="en-US" w:eastAsia="en-US"/>
              </w:rPr>
              <w:t>Ναρκωτικών Φαρμάκων</w:t>
            </w:r>
          </w:p>
        </w:tc>
        <w:tc>
          <w:tcPr>
            <w:tcW w:w="859" w:type="dxa"/>
            <w:tcBorders>
              <w:top w:val="single" w:sz="4" w:space="0" w:color="auto"/>
              <w:left w:val="single" w:sz="4" w:space="0" w:color="auto"/>
              <w:bottom w:val="single" w:sz="4" w:space="0" w:color="auto"/>
              <w:right w:val="single" w:sz="4" w:space="0" w:color="auto"/>
            </w:tcBorders>
          </w:tcPr>
          <w:p w:rsidR="002D183B" w:rsidRDefault="002D183B">
            <w:pPr>
              <w:spacing w:line="276" w:lineRule="auto"/>
              <w:jc w:val="center"/>
              <w:rPr>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2D183B" w:rsidRDefault="002D183B">
            <w:pPr>
              <w:spacing w:line="276" w:lineRule="auto"/>
              <w:jc w:val="center"/>
              <w:rPr>
                <w:lang w:val="en-GB" w:eastAsia="en-US"/>
              </w:rPr>
            </w:pPr>
          </w:p>
        </w:tc>
        <w:tc>
          <w:tcPr>
            <w:tcW w:w="859" w:type="dxa"/>
            <w:tcBorders>
              <w:top w:val="single" w:sz="4" w:space="0" w:color="auto"/>
              <w:left w:val="single" w:sz="4" w:space="0" w:color="auto"/>
              <w:bottom w:val="single" w:sz="4" w:space="0" w:color="auto"/>
              <w:right w:val="single" w:sz="4" w:space="0" w:color="auto"/>
            </w:tcBorders>
          </w:tcPr>
          <w:p w:rsidR="002D183B" w:rsidRDefault="002D183B">
            <w:pPr>
              <w:spacing w:line="276" w:lineRule="auto"/>
              <w:jc w:val="center"/>
              <w:rPr>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2D183B" w:rsidRDefault="002D183B">
            <w:pPr>
              <w:spacing w:line="276" w:lineRule="auto"/>
              <w:jc w:val="center"/>
              <w:rPr>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2D183B" w:rsidRDefault="002D183B">
            <w:pPr>
              <w:spacing w:line="276" w:lineRule="auto"/>
              <w:jc w:val="center"/>
              <w:rPr>
                <w:lang w:val="en-GB" w:eastAsia="en-US"/>
              </w:rPr>
            </w:pP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31</w:t>
            </w:r>
          </w:p>
        </w:tc>
      </w:tr>
      <w:tr w:rsidR="002D183B" w:rsidTr="002D183B">
        <w:tc>
          <w:tcPr>
            <w:tcW w:w="4170" w:type="dxa"/>
            <w:tcBorders>
              <w:top w:val="single" w:sz="4" w:space="0" w:color="auto"/>
              <w:left w:val="double" w:sz="4" w:space="0" w:color="auto"/>
              <w:bottom w:val="single" w:sz="4" w:space="0" w:color="auto"/>
              <w:right w:val="single" w:sz="4" w:space="0" w:color="auto"/>
            </w:tcBorders>
            <w:shd w:val="clear" w:color="auto" w:fill="C0C0C0"/>
            <w:hideMark/>
          </w:tcPr>
          <w:p w:rsidR="002D183B" w:rsidRDefault="002D183B">
            <w:pPr>
              <w:spacing w:line="276" w:lineRule="auto"/>
              <w:rPr>
                <w:lang w:val="en-US" w:eastAsia="en-US"/>
              </w:rPr>
            </w:pPr>
            <w:r>
              <w:rPr>
                <w:sz w:val="22"/>
                <w:szCs w:val="22"/>
                <w:lang w:val="en-US" w:eastAsia="en-US"/>
              </w:rPr>
              <w:t xml:space="preserve">Άδειες Εισαγωγής Ψυχοτρόπων Ουσιών </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239</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235</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238</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247</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249</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236</w:t>
            </w:r>
          </w:p>
        </w:tc>
      </w:tr>
      <w:tr w:rsidR="002D183B" w:rsidTr="002D183B">
        <w:tc>
          <w:tcPr>
            <w:tcW w:w="4170" w:type="dxa"/>
            <w:tcBorders>
              <w:top w:val="single" w:sz="4" w:space="0" w:color="auto"/>
              <w:left w:val="double" w:sz="4" w:space="0" w:color="auto"/>
              <w:bottom w:val="single" w:sz="4" w:space="0" w:color="auto"/>
              <w:right w:val="single" w:sz="4" w:space="0" w:color="auto"/>
            </w:tcBorders>
            <w:shd w:val="clear" w:color="auto" w:fill="C0C0C0"/>
            <w:hideMark/>
          </w:tcPr>
          <w:p w:rsidR="002D183B" w:rsidRDefault="002D183B">
            <w:pPr>
              <w:spacing w:line="276" w:lineRule="auto"/>
              <w:rPr>
                <w:lang w:val="en-US" w:eastAsia="en-US"/>
              </w:rPr>
            </w:pPr>
            <w:r>
              <w:rPr>
                <w:sz w:val="22"/>
                <w:szCs w:val="22"/>
                <w:lang w:val="en-US" w:eastAsia="en-US"/>
              </w:rPr>
              <w:t xml:space="preserve">Άδειες Εξαγωγής Ψυχοτρόπων Ουσιών </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717</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430</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221</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US" w:eastAsia="en-US"/>
              </w:rPr>
            </w:pPr>
            <w:r>
              <w:rPr>
                <w:lang w:val="en-US" w:eastAsia="en-US"/>
              </w:rPr>
              <w:t>225</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222</w:t>
            </w:r>
          </w:p>
        </w:tc>
        <w:tc>
          <w:tcPr>
            <w:tcW w:w="859" w:type="dxa"/>
            <w:tcBorders>
              <w:top w:val="single" w:sz="4" w:space="0" w:color="auto"/>
              <w:left w:val="single" w:sz="4" w:space="0" w:color="auto"/>
              <w:bottom w:val="single" w:sz="4" w:space="0" w:color="auto"/>
              <w:right w:val="single" w:sz="4" w:space="0" w:color="auto"/>
            </w:tcBorders>
            <w:hideMark/>
          </w:tcPr>
          <w:p w:rsidR="002D183B" w:rsidRDefault="002D183B">
            <w:pPr>
              <w:spacing w:line="276" w:lineRule="auto"/>
              <w:jc w:val="center"/>
              <w:rPr>
                <w:lang w:val="en-GB" w:eastAsia="en-US"/>
              </w:rPr>
            </w:pPr>
            <w:r>
              <w:rPr>
                <w:lang w:val="en-GB" w:eastAsia="en-US"/>
              </w:rPr>
              <w:t>228</w:t>
            </w:r>
          </w:p>
        </w:tc>
      </w:tr>
      <w:tr w:rsidR="002D183B" w:rsidTr="002D183B">
        <w:tc>
          <w:tcPr>
            <w:tcW w:w="4170" w:type="dxa"/>
            <w:tcBorders>
              <w:top w:val="single" w:sz="4" w:space="0" w:color="auto"/>
              <w:left w:val="double" w:sz="4" w:space="0" w:color="auto"/>
              <w:bottom w:val="double" w:sz="4" w:space="0" w:color="auto"/>
              <w:right w:val="single" w:sz="4" w:space="0" w:color="auto"/>
            </w:tcBorders>
            <w:shd w:val="clear" w:color="auto" w:fill="C0C0C0"/>
            <w:hideMark/>
          </w:tcPr>
          <w:p w:rsidR="002D183B" w:rsidRDefault="002D183B">
            <w:pPr>
              <w:spacing w:line="276" w:lineRule="auto"/>
              <w:rPr>
                <w:lang w:val="en-US" w:eastAsia="en-US"/>
              </w:rPr>
            </w:pPr>
            <w:r>
              <w:rPr>
                <w:sz w:val="22"/>
                <w:szCs w:val="22"/>
                <w:lang w:val="en-US" w:eastAsia="en-US"/>
              </w:rPr>
              <w:t xml:space="preserve">Άδειες Εισαγωγής Πρόδρομων Ουσιών </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US" w:eastAsia="en-US"/>
              </w:rPr>
            </w:pPr>
            <w:r>
              <w:rPr>
                <w:lang w:val="en-US" w:eastAsia="en-US"/>
              </w:rPr>
              <w:t>8</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GB" w:eastAsia="en-US"/>
              </w:rPr>
            </w:pPr>
            <w:r>
              <w:rPr>
                <w:lang w:val="en-GB" w:eastAsia="en-US"/>
              </w:rPr>
              <w:t>13</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US" w:eastAsia="en-US"/>
              </w:rPr>
            </w:pPr>
            <w:r>
              <w:rPr>
                <w:lang w:val="en-US" w:eastAsia="en-US"/>
              </w:rPr>
              <w:t>5</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US" w:eastAsia="en-US"/>
              </w:rPr>
            </w:pPr>
            <w:r>
              <w:rPr>
                <w:lang w:val="en-US" w:eastAsia="en-US"/>
              </w:rPr>
              <w:t>9</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GB" w:eastAsia="en-US"/>
              </w:rPr>
            </w:pPr>
            <w:r>
              <w:rPr>
                <w:lang w:val="en-GB" w:eastAsia="en-US"/>
              </w:rPr>
              <w:t>5</w:t>
            </w:r>
          </w:p>
        </w:tc>
        <w:tc>
          <w:tcPr>
            <w:tcW w:w="859" w:type="dxa"/>
            <w:tcBorders>
              <w:top w:val="single" w:sz="4" w:space="0" w:color="auto"/>
              <w:left w:val="single" w:sz="4" w:space="0" w:color="auto"/>
              <w:bottom w:val="double" w:sz="4" w:space="0" w:color="auto"/>
              <w:right w:val="single" w:sz="4" w:space="0" w:color="auto"/>
            </w:tcBorders>
            <w:hideMark/>
          </w:tcPr>
          <w:p w:rsidR="002D183B" w:rsidRDefault="002D183B">
            <w:pPr>
              <w:spacing w:line="276" w:lineRule="auto"/>
              <w:jc w:val="center"/>
              <w:rPr>
                <w:lang w:val="en-GB" w:eastAsia="en-US"/>
              </w:rPr>
            </w:pPr>
            <w:r>
              <w:rPr>
                <w:lang w:val="en-GB" w:eastAsia="en-US"/>
              </w:rPr>
              <w:t>10</w:t>
            </w:r>
          </w:p>
        </w:tc>
      </w:tr>
    </w:tbl>
    <w:p w:rsidR="002D183B" w:rsidRDefault="002D183B" w:rsidP="00CE4845">
      <w:pPr>
        <w:pStyle w:val="Heading4"/>
      </w:pPr>
      <w:bookmarkStart w:id="79" w:name="_Toc227378422"/>
      <w:bookmarkStart w:id="80" w:name="_Toc383086805"/>
      <w:r>
        <w:t>Ετοιμασία Εκθέσεων προς τα Ηνωμένα Έθνη σχετικά με τη διακίνηση</w:t>
      </w:r>
      <w:bookmarkEnd w:id="79"/>
      <w:bookmarkEnd w:id="80"/>
      <w:r>
        <w:t xml:space="preserve"> </w:t>
      </w:r>
    </w:p>
    <w:p w:rsidR="002D183B" w:rsidRDefault="002D183B" w:rsidP="002D183B">
      <w:pPr>
        <w:ind w:left="720"/>
      </w:pPr>
      <w:r>
        <w:t xml:space="preserve">(1) Ναρκωτικών </w:t>
      </w:r>
    </w:p>
    <w:p w:rsidR="002D183B" w:rsidRDefault="002D183B" w:rsidP="002D183B">
      <w:pPr>
        <w:numPr>
          <w:ilvl w:val="0"/>
          <w:numId w:val="9"/>
        </w:numPr>
        <w:tabs>
          <w:tab w:val="clear" w:pos="1080"/>
          <w:tab w:val="num" w:pos="1800"/>
        </w:tabs>
        <w:spacing w:after="0"/>
        <w:ind w:left="1800"/>
      </w:pPr>
      <w:r>
        <w:t xml:space="preserve">Τέσσερις (4) τριμηνιαίες εκθέσεις </w:t>
      </w:r>
    </w:p>
    <w:p w:rsidR="002D183B" w:rsidRDefault="002D183B" w:rsidP="002D183B">
      <w:pPr>
        <w:numPr>
          <w:ilvl w:val="0"/>
          <w:numId w:val="9"/>
        </w:numPr>
        <w:tabs>
          <w:tab w:val="clear" w:pos="1080"/>
          <w:tab w:val="num" w:pos="1800"/>
        </w:tabs>
        <w:spacing w:after="0"/>
        <w:ind w:left="1800"/>
      </w:pPr>
      <w:r>
        <w:t xml:space="preserve">Μία (1) ετήσια έκθεση </w:t>
      </w:r>
    </w:p>
    <w:p w:rsidR="002D183B" w:rsidRDefault="002D183B" w:rsidP="002D183B">
      <w:pPr>
        <w:ind w:left="720"/>
      </w:pPr>
      <w:r>
        <w:t xml:space="preserve">(2) Ψυχοτρόπων </w:t>
      </w:r>
    </w:p>
    <w:p w:rsidR="002D183B" w:rsidRDefault="002D183B" w:rsidP="002D183B">
      <w:pPr>
        <w:numPr>
          <w:ilvl w:val="0"/>
          <w:numId w:val="10"/>
        </w:numPr>
        <w:tabs>
          <w:tab w:val="clear" w:pos="1080"/>
          <w:tab w:val="num" w:pos="1800"/>
        </w:tabs>
        <w:spacing w:after="0"/>
        <w:ind w:left="1800"/>
      </w:pPr>
      <w:r>
        <w:t xml:space="preserve">Τέσσερις (4) τριμηνιαίες εκθέσεις </w:t>
      </w:r>
    </w:p>
    <w:p w:rsidR="002D183B" w:rsidRDefault="002D183B" w:rsidP="002D183B">
      <w:pPr>
        <w:numPr>
          <w:ilvl w:val="0"/>
          <w:numId w:val="10"/>
        </w:numPr>
        <w:tabs>
          <w:tab w:val="clear" w:pos="1080"/>
          <w:tab w:val="num" w:pos="1800"/>
        </w:tabs>
        <w:spacing w:after="0"/>
        <w:ind w:left="1800"/>
      </w:pPr>
      <w:r>
        <w:t xml:space="preserve">Μία (1) ετήσια έκθεση </w:t>
      </w:r>
    </w:p>
    <w:p w:rsidR="002D183B" w:rsidRDefault="002D183B" w:rsidP="002D183B">
      <w:pPr>
        <w:ind w:left="720"/>
      </w:pPr>
      <w:r>
        <w:t xml:space="preserve">(3) Πρόδρομων Ουσιών </w:t>
      </w:r>
    </w:p>
    <w:p w:rsidR="002D183B" w:rsidRDefault="002D183B" w:rsidP="002D183B">
      <w:pPr>
        <w:numPr>
          <w:ilvl w:val="0"/>
          <w:numId w:val="11"/>
        </w:numPr>
        <w:tabs>
          <w:tab w:val="clear" w:pos="1080"/>
          <w:tab w:val="num" w:pos="1800"/>
        </w:tabs>
        <w:spacing w:after="0"/>
        <w:ind w:left="1800"/>
      </w:pPr>
      <w:r>
        <w:t>Μία (1) ετήσια έκθεση</w:t>
      </w:r>
      <w:r>
        <w:tab/>
      </w:r>
    </w:p>
    <w:p w:rsidR="002D183B" w:rsidRDefault="002D183B" w:rsidP="002D183B">
      <w:pPr>
        <w:spacing w:after="0"/>
        <w:ind w:left="1800"/>
      </w:pPr>
      <w:r>
        <w:tab/>
      </w:r>
      <w:r>
        <w:tab/>
      </w:r>
      <w:r>
        <w:tab/>
      </w:r>
      <w:r>
        <w:tab/>
      </w:r>
      <w:r>
        <w:tab/>
      </w:r>
      <w:r>
        <w:tab/>
      </w:r>
      <w:r>
        <w:tab/>
      </w:r>
    </w:p>
    <w:p w:rsidR="002D183B" w:rsidRDefault="002D183B" w:rsidP="002D183B">
      <w:pPr>
        <w:spacing w:after="0"/>
      </w:pPr>
      <w:r>
        <w:t>Απαντήθηκαν διάφορα ερωτηματολόγια σχετικά με τα Ναρκωτικά και τα Ψυχοτρόπα.</w:t>
      </w:r>
      <w:r>
        <w:tab/>
      </w:r>
    </w:p>
    <w:p w:rsidR="002D183B" w:rsidRDefault="002D183B" w:rsidP="002D183B">
      <w:pPr>
        <w:spacing w:before="120"/>
      </w:pPr>
      <w:r>
        <w:t>Έκδοση αδειών αγοράς ναρκωτικών φαρμάκων από φαρμακεία και κλινικές και έλεγχος των πωλήσεων και αποθεμάτων τους.</w:t>
      </w:r>
    </w:p>
    <w:p w:rsidR="002D183B" w:rsidRDefault="002D183B" w:rsidP="00CE4845">
      <w:pPr>
        <w:pStyle w:val="Heading4"/>
      </w:pPr>
      <w:bookmarkStart w:id="81" w:name="_Toc227378423"/>
      <w:bookmarkStart w:id="82" w:name="_Toc383086806"/>
      <w:r>
        <w:t>Άλλες Εργασίες</w:t>
      </w:r>
      <w:bookmarkEnd w:id="81"/>
      <w:bookmarkEnd w:id="82"/>
      <w:r>
        <w:t xml:space="preserve"> </w:t>
      </w:r>
    </w:p>
    <w:p w:rsidR="002D183B" w:rsidRDefault="002D183B" w:rsidP="002D183B">
      <w:r>
        <w:t xml:space="preserve">Ερευνήθηκαν διάφορα υποστατικά σε συνεργασία με την αστυνομία και δόθηκαν γνωματεύσεις σχετικά με τα τεκμήρια που κατασχέθηκαν.  Παράλληλα λειτουργοί του Τομέα παρουσιάστηκαν ως μάρτυρες στο δικαστήριο. </w:t>
      </w:r>
    </w:p>
    <w:p w:rsidR="002D183B" w:rsidRDefault="002D183B" w:rsidP="002D183B">
      <w:r>
        <w:lastRenderedPageBreak/>
        <w:t>Ληγμένα ή ακατάλληλα για χρήση φάρμακα καθώς και τα τεκμήρια που κατασχέθηκαν από την αστυνομία, καταστράφηκαν στην παρουσία των λειτουργών του Τομέα.</w:t>
      </w:r>
    </w:p>
    <w:p w:rsidR="002D183B" w:rsidRDefault="002D183B" w:rsidP="002D183B">
      <w:r>
        <w:t>Έλεγχος φαρμάκων που εισάγονται από το κοινό μέσω ταχυδρομείου.</w:t>
      </w:r>
    </w:p>
    <w:p w:rsidR="002D183B" w:rsidRDefault="002D183B" w:rsidP="002D183B">
      <w:r>
        <w:t xml:space="preserve">Κατά το 2012 έγιναν 5 έλεγχοι σε Ιδιωτικά Νοσηλευτήρια για εφαρμογή των περί Ναρκωτικών και Ψυχοτρόπων ουσιών Κανονισμών. </w:t>
      </w:r>
    </w:p>
    <w:p w:rsidR="007174B3" w:rsidRPr="007174B3" w:rsidRDefault="002D183B" w:rsidP="007174B3">
      <w:r>
        <w:t>Όλες οι εργασίες του Τομέα καταχωρούνται ηλεκτρονικά και γίνεται συνεχής αναβάθμιση των προγραμμάτων του ηλεκτρονικού υπολογιστή για πλήρη εκσυγχρονισμό και μηχανογράφηση . Οι αναφορές και τα στατιστικά στοιχεία εξάγονται αυτόμα</w:t>
      </w:r>
      <w:r w:rsidR="00F94DDB">
        <w:t xml:space="preserve">τα από τα διάφορα προγράμματα. </w:t>
      </w:r>
    </w:p>
    <w:p w:rsidR="00D1256F" w:rsidRPr="004B126A" w:rsidRDefault="00D1256F" w:rsidP="003C02BD">
      <w:pPr>
        <w:pStyle w:val="Heading3"/>
      </w:pPr>
      <w:bookmarkStart w:id="83" w:name="_Toc383086807"/>
      <w:r w:rsidRPr="004B126A">
        <w:t>Τομέας Μηχανογράφησης</w:t>
      </w:r>
      <w:bookmarkEnd w:id="83"/>
      <w:r w:rsidR="0094300F" w:rsidRPr="00610027">
        <w:t xml:space="preserve"> </w:t>
      </w:r>
    </w:p>
    <w:p w:rsidR="004B126A" w:rsidRPr="00F42FEB" w:rsidRDefault="00610027" w:rsidP="003C02BD">
      <w:pPr>
        <w:spacing w:before="240"/>
      </w:pPr>
      <w:r>
        <w:t xml:space="preserve"> Ο</w:t>
      </w:r>
      <w:r w:rsidR="004B126A" w:rsidRPr="00F42FEB">
        <w:t xml:space="preserve"> </w:t>
      </w:r>
      <w:r>
        <w:t>Τομέας Μηχανογράφησης</w:t>
      </w:r>
      <w:r w:rsidR="00DA33C4">
        <w:t xml:space="preserve"> το έτος 201</w:t>
      </w:r>
      <w:r w:rsidR="00DA33C4" w:rsidRPr="00DA33C4">
        <w:t xml:space="preserve">2 </w:t>
      </w:r>
      <w:r w:rsidR="0086259D">
        <w:t xml:space="preserve"> ήταν </w:t>
      </w:r>
      <w:r>
        <w:t xml:space="preserve"> στελεχωμένος με</w:t>
      </w:r>
      <w:r w:rsidR="005B309B" w:rsidRPr="005B309B">
        <w:t xml:space="preserve"> </w:t>
      </w:r>
      <w:r w:rsidR="005B309B">
        <w:t>ένα Πρώτο Φαρμακοποιό, υπεύθυνο του Τομέα,</w:t>
      </w:r>
      <w:r>
        <w:t xml:space="preserve"> </w:t>
      </w:r>
      <w:r w:rsidR="004939FC">
        <w:t>τρεί</w:t>
      </w:r>
      <w:r w:rsidR="005B309B">
        <w:t>ς</w:t>
      </w:r>
      <w:r w:rsidR="004B126A" w:rsidRPr="00F42FEB">
        <w:t xml:space="preserve"> Φαρμακοποιούς και ένα λειτουργό πληροφορικής της Μονάδας Πληροφορικής του Υπουργείου Υγείας με ευθύνη την ορθή ανάπτυξη των τριών βασικών μηχανογραφικ</w:t>
      </w:r>
      <w:r w:rsidR="0051507E">
        <w:t>ών συστημάτων καθώς και με δύο</w:t>
      </w:r>
      <w:r w:rsidR="004B126A" w:rsidRPr="00F42FEB">
        <w:t xml:space="preserve"> λειτουργούς πληροφορικής μέσω μίσθωσης με σύμβαση υπηρεσιών με ευθύνη τη λειτουργική τους υποστήριξη.</w:t>
      </w:r>
    </w:p>
    <w:p w:rsidR="004B126A" w:rsidRPr="00F42FEB" w:rsidRDefault="004B126A" w:rsidP="004B126A">
      <w:r w:rsidRPr="00F42FEB">
        <w:t>Τα συστήματα τα οποία λειτουργούν είναι τα εξής:</w:t>
      </w:r>
    </w:p>
    <w:p w:rsidR="004B126A" w:rsidRPr="004B126A" w:rsidRDefault="004B126A" w:rsidP="004B126A">
      <w:pPr>
        <w:numPr>
          <w:ilvl w:val="1"/>
          <w:numId w:val="2"/>
        </w:numPr>
        <w:spacing w:after="0"/>
        <w:ind w:hanging="720"/>
        <w:rPr>
          <w:i/>
        </w:rPr>
      </w:pPr>
      <w:r w:rsidRPr="004B126A">
        <w:rPr>
          <w:bCs/>
          <w:i/>
        </w:rPr>
        <w:t>Σύστημα Εγγραφής και Τιμολόγησης Φαρμάκων (</w:t>
      </w:r>
      <w:r w:rsidRPr="004B126A">
        <w:rPr>
          <w:bCs/>
          <w:i/>
          <w:lang w:val="en-GB"/>
        </w:rPr>
        <w:t>Cypdis</w:t>
      </w:r>
      <w:r w:rsidRPr="004B126A">
        <w:rPr>
          <w:bCs/>
          <w:i/>
        </w:rPr>
        <w:t>)</w:t>
      </w:r>
    </w:p>
    <w:p w:rsidR="004B126A" w:rsidRPr="004B126A" w:rsidRDefault="004B126A" w:rsidP="004B126A">
      <w:pPr>
        <w:numPr>
          <w:ilvl w:val="1"/>
          <w:numId w:val="2"/>
        </w:numPr>
        <w:spacing w:after="0"/>
        <w:ind w:hanging="720"/>
        <w:rPr>
          <w:i/>
        </w:rPr>
      </w:pPr>
      <w:r w:rsidRPr="004B126A">
        <w:rPr>
          <w:bCs/>
          <w:i/>
        </w:rPr>
        <w:t>Σύστημα Τήρησης Αποθήκης Φαρμάκων (</w:t>
      </w:r>
      <w:r w:rsidRPr="004B126A">
        <w:rPr>
          <w:bCs/>
          <w:i/>
          <w:lang w:val="en-GB"/>
        </w:rPr>
        <w:t>SAP</w:t>
      </w:r>
      <w:r w:rsidRPr="004B126A">
        <w:rPr>
          <w:bCs/>
          <w:i/>
        </w:rPr>
        <w:t>)</w:t>
      </w:r>
    </w:p>
    <w:p w:rsidR="004B126A" w:rsidRPr="004B126A" w:rsidRDefault="004B126A" w:rsidP="004B126A">
      <w:pPr>
        <w:numPr>
          <w:ilvl w:val="1"/>
          <w:numId w:val="2"/>
        </w:numPr>
        <w:spacing w:after="0"/>
        <w:ind w:hanging="720"/>
        <w:rPr>
          <w:i/>
        </w:rPr>
      </w:pPr>
      <w:r w:rsidRPr="004B126A">
        <w:rPr>
          <w:bCs/>
          <w:i/>
        </w:rPr>
        <w:t>Σύστημα Διαχείρισης και Τιμολόγησης Συνταγών (</w:t>
      </w:r>
      <w:r w:rsidRPr="004B126A">
        <w:rPr>
          <w:bCs/>
          <w:i/>
          <w:lang w:val="en-GB"/>
        </w:rPr>
        <w:t>SAP</w:t>
      </w:r>
      <w:r w:rsidRPr="004B126A">
        <w:rPr>
          <w:bCs/>
          <w:i/>
        </w:rPr>
        <w:t xml:space="preserve"> και </w:t>
      </w:r>
      <w:r w:rsidRPr="004B126A">
        <w:rPr>
          <w:bCs/>
          <w:i/>
          <w:lang w:val="en-GB"/>
        </w:rPr>
        <w:t>PPIS</w:t>
      </w:r>
      <w:r w:rsidRPr="004B126A">
        <w:rPr>
          <w:bCs/>
          <w:i/>
        </w:rPr>
        <w:t>)</w:t>
      </w:r>
    </w:p>
    <w:p w:rsidR="004B126A" w:rsidRPr="004B126A" w:rsidRDefault="004B126A" w:rsidP="004B126A">
      <w:pPr>
        <w:rPr>
          <w:i/>
        </w:rPr>
      </w:pPr>
    </w:p>
    <w:p w:rsidR="004B126A" w:rsidRPr="004B126A" w:rsidRDefault="004B126A" w:rsidP="005C6643">
      <w:pPr>
        <w:pStyle w:val="ListParagraph"/>
        <w:numPr>
          <w:ilvl w:val="0"/>
          <w:numId w:val="13"/>
        </w:numPr>
        <w:rPr>
          <w:rFonts w:ascii="Arial" w:hAnsi="Arial" w:cs="Arial"/>
          <w:b/>
          <w:color w:val="984806" w:themeColor="accent6" w:themeShade="80"/>
          <w:sz w:val="20"/>
          <w:szCs w:val="20"/>
          <w:u w:val="single"/>
          <w:lang w:val="el-GR"/>
        </w:rPr>
      </w:pPr>
      <w:r w:rsidRPr="004B126A">
        <w:rPr>
          <w:rFonts w:ascii="Arial" w:hAnsi="Arial" w:cs="Arial"/>
          <w:b/>
          <w:bCs/>
          <w:color w:val="984806" w:themeColor="accent6" w:themeShade="80"/>
          <w:sz w:val="20"/>
          <w:szCs w:val="20"/>
          <w:u w:val="single"/>
          <w:lang w:val="el-GR"/>
        </w:rPr>
        <w:t>Σύστημα Εγγραφής και Τιμολόγησης Φαρμάκων (</w:t>
      </w:r>
      <w:r w:rsidRPr="004B126A">
        <w:rPr>
          <w:rFonts w:ascii="Arial" w:hAnsi="Arial" w:cs="Arial"/>
          <w:b/>
          <w:bCs/>
          <w:color w:val="984806" w:themeColor="accent6" w:themeShade="80"/>
          <w:sz w:val="20"/>
          <w:szCs w:val="20"/>
          <w:u w:val="single"/>
        </w:rPr>
        <w:t>Cypdis</w:t>
      </w:r>
      <w:r w:rsidRPr="004B126A">
        <w:rPr>
          <w:rFonts w:ascii="Arial" w:hAnsi="Arial" w:cs="Arial"/>
          <w:b/>
          <w:bCs/>
          <w:color w:val="984806" w:themeColor="accent6" w:themeShade="80"/>
          <w:sz w:val="20"/>
          <w:szCs w:val="20"/>
          <w:u w:val="single"/>
          <w:lang w:val="el-GR"/>
        </w:rPr>
        <w:t>):</w:t>
      </w:r>
    </w:p>
    <w:p w:rsidR="004B126A" w:rsidRPr="00F42FEB" w:rsidRDefault="004B126A" w:rsidP="004B126A">
      <w:pPr>
        <w:spacing w:before="100" w:beforeAutospacing="1"/>
      </w:pPr>
      <w:r w:rsidRPr="00F42FEB">
        <w:t xml:space="preserve">Κατά τη </w:t>
      </w:r>
      <w:r w:rsidR="005B309B">
        <w:t>διάρκεια του 2012  έγιναν 93</w:t>
      </w:r>
      <w:r w:rsidRPr="00F42FEB">
        <w:t xml:space="preserve"> αλλαγές</w:t>
      </w:r>
      <w:r w:rsidR="00872B9F" w:rsidRPr="00872B9F">
        <w:t xml:space="preserve">/ </w:t>
      </w:r>
      <w:r w:rsidR="00872B9F">
        <w:t xml:space="preserve">προσθήκες </w:t>
      </w:r>
      <w:r w:rsidRPr="00F42FEB">
        <w:t xml:space="preserve"> με στόχο τη βελτίωση της λειτουργίας του συστήματος</w:t>
      </w:r>
      <w:r w:rsidR="00872B9F">
        <w:t xml:space="preserve">. </w:t>
      </w:r>
    </w:p>
    <w:p w:rsidR="004B126A" w:rsidRPr="004B126A" w:rsidRDefault="004B126A" w:rsidP="005C6643">
      <w:pPr>
        <w:pStyle w:val="ListParagraph"/>
        <w:numPr>
          <w:ilvl w:val="0"/>
          <w:numId w:val="13"/>
        </w:numPr>
        <w:spacing w:before="360"/>
        <w:rPr>
          <w:rFonts w:ascii="Arial" w:hAnsi="Arial" w:cs="Arial"/>
          <w:b/>
          <w:color w:val="984806" w:themeColor="accent6" w:themeShade="80"/>
          <w:sz w:val="20"/>
          <w:szCs w:val="20"/>
          <w:u w:val="single"/>
          <w:lang w:val="el-GR"/>
        </w:rPr>
      </w:pPr>
      <w:r w:rsidRPr="004B126A">
        <w:rPr>
          <w:rFonts w:ascii="Arial" w:hAnsi="Arial" w:cs="Arial"/>
          <w:b/>
          <w:color w:val="984806" w:themeColor="accent6" w:themeShade="80"/>
          <w:sz w:val="20"/>
          <w:szCs w:val="20"/>
          <w:u w:val="single"/>
          <w:lang w:val="el-GR"/>
        </w:rPr>
        <w:t xml:space="preserve">Σύστημα τήρησης αποθήκης και διαχείριση συνταγών με </w:t>
      </w:r>
      <w:r w:rsidRPr="004B126A">
        <w:rPr>
          <w:rFonts w:ascii="Arial" w:hAnsi="Arial" w:cs="Arial"/>
          <w:b/>
          <w:color w:val="984806" w:themeColor="accent6" w:themeShade="80"/>
          <w:sz w:val="20"/>
          <w:szCs w:val="20"/>
          <w:u w:val="single"/>
          <w:lang w:val="en-US"/>
        </w:rPr>
        <w:t>SAP</w:t>
      </w:r>
      <w:r w:rsidRPr="004B126A">
        <w:rPr>
          <w:rFonts w:ascii="Arial" w:hAnsi="Arial" w:cs="Arial"/>
          <w:b/>
          <w:color w:val="984806" w:themeColor="accent6" w:themeShade="80"/>
          <w:sz w:val="20"/>
          <w:szCs w:val="20"/>
          <w:u w:val="single"/>
          <w:lang w:val="el-GR"/>
        </w:rPr>
        <w:t>/</w:t>
      </w:r>
      <w:r w:rsidRPr="004B126A">
        <w:rPr>
          <w:rFonts w:ascii="Arial" w:hAnsi="Arial" w:cs="Arial"/>
          <w:b/>
          <w:color w:val="984806" w:themeColor="accent6" w:themeShade="80"/>
          <w:sz w:val="20"/>
          <w:szCs w:val="20"/>
          <w:u w:val="single"/>
          <w:lang w:val="en-US"/>
        </w:rPr>
        <w:t>PPIS</w:t>
      </w:r>
      <w:r w:rsidRPr="004B126A">
        <w:rPr>
          <w:rFonts w:ascii="Arial" w:hAnsi="Arial" w:cs="Arial"/>
          <w:b/>
          <w:color w:val="984806" w:themeColor="accent6" w:themeShade="80"/>
          <w:sz w:val="20"/>
          <w:szCs w:val="20"/>
          <w:u w:val="single"/>
          <w:lang w:val="el-GR"/>
        </w:rPr>
        <w:t>:</w:t>
      </w:r>
    </w:p>
    <w:p w:rsidR="004B126A" w:rsidRPr="00F42FEB" w:rsidRDefault="004B126A" w:rsidP="004B126A">
      <w:pPr>
        <w:spacing w:before="100" w:beforeAutospacing="1"/>
      </w:pPr>
      <w:r w:rsidRPr="00F42FEB">
        <w:t xml:space="preserve">Μετά την επιτυχή εφαρμογή του </w:t>
      </w:r>
      <w:r w:rsidRPr="00F42FEB">
        <w:rPr>
          <w:lang w:val="en-US"/>
        </w:rPr>
        <w:t>SAP</w:t>
      </w:r>
      <w:r w:rsidRPr="00F42FEB">
        <w:t xml:space="preserve"> στις κεντρικές αποθήκες, άρχισε με σταθερό ρυθμό η εγκατάσταση του συστήματος και στα περιφερειακά κρατικά φαρμακεία όπου ήταν διαθέσιμη η απαιτούμενη υποδομή. Παράλληλα με την εγκατάσταση άρχισε και η επί τόπου εκπαίδευση των λειτουργών ορισμένοι εκ των οποίων σε προχωρημένο βαθμό ώστε να διευκολύνουν την εκπαίδευση νεοτέρων. </w:t>
      </w:r>
    </w:p>
    <w:p w:rsidR="00B425B1" w:rsidRDefault="00B425B1" w:rsidP="004B126A">
      <w:r>
        <w:t xml:space="preserve">Κατά τη διάρκεια του 2012 υλοποιήθηκαν 7 αλλαγές στο σύστημα </w:t>
      </w:r>
      <w:r>
        <w:rPr>
          <w:lang w:val="en-US"/>
        </w:rPr>
        <w:t>PPIS</w:t>
      </w:r>
      <w:r w:rsidR="004B126A" w:rsidRPr="00F42FEB">
        <w:t xml:space="preserve"> με στόχο τη βελτίωση της λειτουργίας και φιλικότητας του συστήματος</w:t>
      </w:r>
      <w:r>
        <w:t>.</w:t>
      </w:r>
      <w:r w:rsidR="004B126A" w:rsidRPr="00F42FEB">
        <w:t xml:space="preserve"> </w:t>
      </w:r>
    </w:p>
    <w:p w:rsidR="0060693C" w:rsidRPr="0060693C" w:rsidRDefault="0060693C" w:rsidP="004B126A">
      <w:r>
        <w:t>Στον</w:t>
      </w:r>
      <w:r w:rsidR="00B425B1">
        <w:t xml:space="preserve"> πίνακα 1.2.4.α αναφέρονται τα Κέντρα Υ</w:t>
      </w:r>
      <w:r>
        <w:t xml:space="preserve">γείας στα οποία έχουν εγκατασταθεί τα συστήματα </w:t>
      </w:r>
      <w:r>
        <w:rPr>
          <w:lang w:val="en-US"/>
        </w:rPr>
        <w:t>SAP</w:t>
      </w:r>
      <w:r w:rsidRPr="0060693C">
        <w:t xml:space="preserve"> </w:t>
      </w:r>
      <w:r>
        <w:t xml:space="preserve">και </w:t>
      </w:r>
      <w:r>
        <w:rPr>
          <w:lang w:val="en-US"/>
        </w:rPr>
        <w:t>PPIS</w:t>
      </w:r>
      <w:r w:rsidRPr="0060693C">
        <w:t>.</w:t>
      </w:r>
    </w:p>
    <w:p w:rsidR="0060693C" w:rsidRPr="00D706E2" w:rsidRDefault="0060693C" w:rsidP="004B126A"/>
    <w:p w:rsidR="00D706E2" w:rsidRPr="00D706E2" w:rsidRDefault="00D706E2" w:rsidP="004B126A"/>
    <w:p w:rsidR="00D706E2" w:rsidRPr="00D706E2" w:rsidRDefault="00D706E2" w:rsidP="004B126A"/>
    <w:p w:rsidR="00D706E2" w:rsidRPr="00D706E2" w:rsidRDefault="00D706E2" w:rsidP="004B126A"/>
    <w:p w:rsidR="0060693C" w:rsidRDefault="0060693C" w:rsidP="0060693C">
      <w:pPr>
        <w:pStyle w:val="Caption"/>
        <w:keepNext/>
      </w:pPr>
      <w:r>
        <w:lastRenderedPageBreak/>
        <w:t xml:space="preserve">Πίνακας </w:t>
      </w:r>
      <w:r w:rsidR="00774D0A">
        <w:fldChar w:fldCharType="begin"/>
      </w:r>
      <w:r>
        <w:instrText xml:space="preserve"> SEQ Πίνακας \* ARABIC </w:instrText>
      </w:r>
      <w:r w:rsidR="00774D0A">
        <w:fldChar w:fldCharType="separate"/>
      </w:r>
      <w:r w:rsidR="00C17044">
        <w:rPr>
          <w:noProof/>
        </w:rPr>
        <w:t>2</w:t>
      </w:r>
      <w:r w:rsidR="00774D0A">
        <w:fldChar w:fldCharType="end"/>
      </w:r>
      <w:r>
        <w:rPr>
          <w:lang w:val="el-GR"/>
        </w:rPr>
        <w:t>.2.4.α</w:t>
      </w:r>
    </w:p>
    <w:tbl>
      <w:tblPr>
        <w:tblW w:w="8615" w:type="dxa"/>
        <w:jc w:val="center"/>
        <w:tblInd w:w="-1407" w:type="dxa"/>
        <w:tblLayout w:type="fixed"/>
        <w:tblLook w:val="04A0"/>
      </w:tblPr>
      <w:tblGrid>
        <w:gridCol w:w="5083"/>
        <w:gridCol w:w="1436"/>
        <w:gridCol w:w="2096"/>
      </w:tblGrid>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4B126A" w:rsidP="00912553">
            <w:pPr>
              <w:spacing w:after="0"/>
              <w:jc w:val="center"/>
              <w:rPr>
                <w:b/>
                <w:color w:val="000000"/>
                <w:lang w:eastAsia="en-US"/>
              </w:rPr>
            </w:pPr>
            <w:r w:rsidRPr="00F42FEB">
              <w:rPr>
                <w:b/>
                <w:color w:val="000000"/>
                <w:lang w:eastAsia="en-US"/>
              </w:rPr>
              <w:t>Φαρμακεία</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4B126A" w:rsidP="00912553">
            <w:pPr>
              <w:spacing w:after="0"/>
              <w:jc w:val="center"/>
              <w:rPr>
                <w:b/>
                <w:color w:val="000000"/>
                <w:lang w:val="en-US" w:eastAsia="en-US"/>
              </w:rPr>
            </w:pPr>
            <w:r w:rsidRPr="00F42FEB">
              <w:rPr>
                <w:b/>
                <w:color w:val="000000"/>
                <w:lang w:val="en-US" w:eastAsia="en-US"/>
              </w:rPr>
              <w:t>SAP</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4B126A" w:rsidP="00912553">
            <w:pPr>
              <w:spacing w:after="0"/>
              <w:jc w:val="center"/>
              <w:rPr>
                <w:b/>
                <w:color w:val="000000"/>
                <w:lang w:val="en-US" w:eastAsia="en-US"/>
              </w:rPr>
            </w:pPr>
            <w:r w:rsidRPr="00F42FEB">
              <w:rPr>
                <w:b/>
                <w:color w:val="000000"/>
                <w:lang w:val="en-US" w:eastAsia="en-US"/>
              </w:rPr>
              <w:t>PPIS</w:t>
            </w:r>
          </w:p>
        </w:tc>
      </w:tr>
      <w:tr w:rsidR="004B126A" w:rsidRPr="00F42FEB" w:rsidTr="0051507E">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B14728" w:rsidRDefault="004B126A" w:rsidP="00912553">
            <w:pPr>
              <w:spacing w:after="0"/>
              <w:jc w:val="left"/>
              <w:rPr>
                <w:color w:val="000000"/>
                <w:lang w:eastAsia="en-US"/>
              </w:rPr>
            </w:pPr>
            <w:r w:rsidRPr="00F42FEB">
              <w:rPr>
                <w:color w:val="000000"/>
                <w:lang w:eastAsia="en-US"/>
              </w:rPr>
              <w:t xml:space="preserve">Φαρμακείο </w:t>
            </w:r>
            <w:r w:rsidR="00B14728">
              <w:rPr>
                <w:color w:val="000000"/>
                <w:lang w:eastAsia="en-US"/>
              </w:rPr>
              <w:t xml:space="preserve">Εξωτερικών Ιατρείων </w:t>
            </w:r>
            <w:r w:rsidR="00953B03">
              <w:rPr>
                <w:color w:val="000000"/>
                <w:lang w:eastAsia="en-US"/>
              </w:rPr>
              <w:t xml:space="preserve"> </w:t>
            </w:r>
            <w:r w:rsidR="00B14728">
              <w:rPr>
                <w:color w:val="000000"/>
                <w:lang w:eastAsia="en-US"/>
              </w:rPr>
              <w:t>Στροβόλου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B14728" w:rsidRDefault="00B14728" w:rsidP="00912553">
            <w:pPr>
              <w:spacing w:after="0"/>
              <w:jc w:val="center"/>
              <w:rPr>
                <w:color w:val="000000"/>
                <w:lang w:eastAsia="en-US"/>
              </w:rPr>
            </w:pPr>
            <w:r>
              <w:rPr>
                <w:color w:val="000000"/>
                <w:lang w:eastAsia="en-US"/>
              </w:rPr>
              <w:t>29</w:t>
            </w:r>
            <w:r>
              <w:rPr>
                <w:color w:val="000000"/>
                <w:lang w:val="en-US" w:eastAsia="en-US"/>
              </w:rPr>
              <w:t>/</w:t>
            </w:r>
            <w:r>
              <w:rPr>
                <w:color w:val="000000"/>
                <w:lang w:eastAsia="en-US"/>
              </w:rPr>
              <w:t>7</w:t>
            </w:r>
            <w:r>
              <w:rPr>
                <w:color w:val="000000"/>
                <w:lang w:val="en-US" w:eastAsia="en-US"/>
              </w:rPr>
              <w:t>/201</w:t>
            </w:r>
            <w:r>
              <w:rPr>
                <w:color w:val="000000"/>
                <w:lang w:eastAsia="en-US"/>
              </w:rPr>
              <w:t>1</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B14728" w:rsidRDefault="00B425B1" w:rsidP="00912553">
            <w:pPr>
              <w:spacing w:after="0"/>
              <w:jc w:val="center"/>
              <w:rPr>
                <w:color w:val="000000"/>
                <w:lang w:eastAsia="en-US"/>
              </w:rPr>
            </w:pPr>
            <w:r>
              <w:rPr>
                <w:color w:val="000000"/>
                <w:lang w:eastAsia="en-US"/>
              </w:rPr>
              <w:t>11/6/2012</w:t>
            </w:r>
          </w:p>
        </w:tc>
      </w:tr>
      <w:tr w:rsidR="004B126A" w:rsidRPr="00F42FEB" w:rsidTr="0051507E">
        <w:trPr>
          <w:trHeight w:val="537"/>
          <w:jc w:val="center"/>
        </w:trPr>
        <w:tc>
          <w:tcPr>
            <w:tcW w:w="5083" w:type="dxa"/>
            <w:tcBorders>
              <w:top w:val="single" w:sz="4" w:space="0" w:color="auto"/>
              <w:left w:val="single" w:sz="4" w:space="0" w:color="auto"/>
              <w:bottom w:val="single" w:sz="4" w:space="0" w:color="auto"/>
              <w:right w:val="single" w:sz="4" w:space="0" w:color="auto"/>
            </w:tcBorders>
            <w:vAlign w:val="center"/>
          </w:tcPr>
          <w:p w:rsidR="004B126A" w:rsidRPr="00F42FEB" w:rsidRDefault="00B14728" w:rsidP="00912553">
            <w:pPr>
              <w:spacing w:after="0"/>
              <w:jc w:val="left"/>
              <w:rPr>
                <w:color w:val="000000"/>
                <w:lang w:eastAsia="en-US"/>
              </w:rPr>
            </w:pPr>
            <w:r>
              <w:rPr>
                <w:color w:val="000000"/>
                <w:lang w:eastAsia="en-US"/>
              </w:rPr>
              <w:t>Φαρμακείο  Εξωτερικών Ιατρείων</w:t>
            </w:r>
            <w:r w:rsidR="00953B03">
              <w:rPr>
                <w:color w:val="000000"/>
                <w:lang w:eastAsia="en-US"/>
              </w:rPr>
              <w:t xml:space="preserve"> </w:t>
            </w:r>
            <w:r>
              <w:rPr>
                <w:color w:val="000000"/>
                <w:lang w:eastAsia="en-US"/>
              </w:rPr>
              <w:t xml:space="preserve"> Καϊμακλίου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05CAA" w:rsidRDefault="00B14728" w:rsidP="00912553">
            <w:pPr>
              <w:spacing w:after="0"/>
              <w:jc w:val="center"/>
              <w:rPr>
                <w:color w:val="000000"/>
                <w:lang w:val="en-US" w:eastAsia="en-US"/>
              </w:rPr>
            </w:pPr>
            <w:r>
              <w:rPr>
                <w:color w:val="000000"/>
                <w:lang w:eastAsia="en-US"/>
              </w:rPr>
              <w:t>24/8</w:t>
            </w:r>
            <w:r w:rsidR="00F05CAA">
              <w:rPr>
                <w:color w:val="000000"/>
                <w:lang w:eastAsia="en-US"/>
              </w:rPr>
              <w:t>/201</w:t>
            </w:r>
            <w:r w:rsidR="00F05CAA">
              <w:rPr>
                <w:color w:val="000000"/>
                <w:lang w:val="en-US" w:eastAsia="en-US"/>
              </w:rPr>
              <w:t>1</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B425B1" w:rsidP="00912553">
            <w:pPr>
              <w:spacing w:after="0"/>
              <w:jc w:val="center"/>
              <w:rPr>
                <w:color w:val="000000"/>
                <w:lang w:eastAsia="en-US"/>
              </w:rPr>
            </w:pPr>
            <w:r>
              <w:rPr>
                <w:color w:val="000000"/>
                <w:lang w:eastAsia="en-US"/>
              </w:rPr>
              <w:t>2/4/2012</w:t>
            </w:r>
          </w:p>
        </w:tc>
      </w:tr>
      <w:tr w:rsidR="004B126A" w:rsidRPr="00F42FEB" w:rsidTr="0051507E">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B425B1" w:rsidP="00912553">
            <w:pPr>
              <w:spacing w:after="0"/>
              <w:jc w:val="left"/>
              <w:rPr>
                <w:color w:val="000000"/>
                <w:lang w:eastAsia="en-US"/>
              </w:rPr>
            </w:pPr>
            <w:r>
              <w:rPr>
                <w:color w:val="000000"/>
                <w:lang w:eastAsia="en-US"/>
              </w:rPr>
              <w:t>Φαρμακείο Κέντρου Υγείας</w:t>
            </w:r>
            <w:r w:rsidR="00953B03">
              <w:rPr>
                <w:color w:val="000000"/>
                <w:lang w:eastAsia="en-US"/>
              </w:rPr>
              <w:t xml:space="preserve"> </w:t>
            </w:r>
            <w:r>
              <w:rPr>
                <w:color w:val="000000"/>
                <w:lang w:eastAsia="en-US"/>
              </w:rPr>
              <w:t xml:space="preserve"> Λατσιών</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B425B1" w:rsidP="00912553">
            <w:pPr>
              <w:spacing w:after="0"/>
              <w:jc w:val="center"/>
              <w:rPr>
                <w:color w:val="000000"/>
                <w:lang w:eastAsia="en-US"/>
              </w:rPr>
            </w:pPr>
            <w:r>
              <w:rPr>
                <w:color w:val="000000"/>
                <w:lang w:eastAsia="en-US"/>
              </w:rPr>
              <w:t>6/7/2012</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4B126A" w:rsidRPr="00F42FEB" w:rsidRDefault="00B425B1" w:rsidP="00912553">
            <w:pPr>
              <w:spacing w:after="0"/>
              <w:jc w:val="center"/>
              <w:rPr>
                <w:color w:val="000000"/>
                <w:lang w:eastAsia="en-US"/>
              </w:rPr>
            </w:pPr>
            <w:r>
              <w:rPr>
                <w:color w:val="000000"/>
                <w:lang w:eastAsia="en-US"/>
              </w:rPr>
              <w:t>6/7/2012</w:t>
            </w:r>
          </w:p>
        </w:tc>
      </w:tr>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B14728" w:rsidP="00912553">
            <w:pPr>
              <w:spacing w:after="0"/>
              <w:jc w:val="left"/>
              <w:rPr>
                <w:lang w:eastAsia="en-US"/>
              </w:rPr>
            </w:pPr>
            <w:r>
              <w:rPr>
                <w:color w:val="000000"/>
                <w:lang w:eastAsia="en-US"/>
              </w:rPr>
              <w:t>Φαρμακείο</w:t>
            </w:r>
            <w:r w:rsidR="00E05787">
              <w:rPr>
                <w:color w:val="000000"/>
                <w:lang w:eastAsia="en-US"/>
              </w:rPr>
              <w:t xml:space="preserve"> </w:t>
            </w:r>
            <w:r>
              <w:rPr>
                <w:color w:val="000000"/>
                <w:lang w:eastAsia="en-US"/>
              </w:rPr>
              <w:t xml:space="preserve"> Κέντρου Υγείας </w:t>
            </w:r>
            <w:r w:rsidR="00953B03">
              <w:rPr>
                <w:color w:val="000000"/>
                <w:lang w:eastAsia="en-US"/>
              </w:rPr>
              <w:t xml:space="preserve"> </w:t>
            </w:r>
            <w:r>
              <w:rPr>
                <w:color w:val="000000"/>
                <w:lang w:eastAsia="en-US"/>
              </w:rPr>
              <w:t>Αγ. Δομετίου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B14728" w:rsidP="00912553">
            <w:pPr>
              <w:spacing w:after="0"/>
              <w:jc w:val="center"/>
              <w:rPr>
                <w:color w:val="000000"/>
                <w:lang w:eastAsia="en-US"/>
              </w:rPr>
            </w:pPr>
            <w:r>
              <w:rPr>
                <w:color w:val="000000"/>
                <w:lang w:eastAsia="en-US"/>
              </w:rPr>
              <w:t>3/8/2011</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B425B1" w:rsidP="00912553">
            <w:pPr>
              <w:spacing w:after="0"/>
              <w:jc w:val="center"/>
              <w:rPr>
                <w:color w:val="000000"/>
                <w:lang w:eastAsia="en-US"/>
              </w:rPr>
            </w:pPr>
            <w:r>
              <w:rPr>
                <w:color w:val="000000"/>
                <w:lang w:eastAsia="en-US"/>
              </w:rPr>
              <w:t>21/3/2012</w:t>
            </w:r>
          </w:p>
        </w:tc>
      </w:tr>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B425B1" w:rsidP="00912553">
            <w:pPr>
              <w:spacing w:after="0"/>
              <w:jc w:val="left"/>
              <w:rPr>
                <w:color w:val="000000"/>
                <w:lang w:eastAsia="en-US"/>
              </w:rPr>
            </w:pPr>
            <w:r>
              <w:rPr>
                <w:color w:val="000000"/>
                <w:lang w:eastAsia="en-US"/>
              </w:rPr>
              <w:t>Φαρμακείο  Α.Υ.Κ  Κλήρου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953B03" w:rsidP="00912553">
            <w:pPr>
              <w:spacing w:after="0"/>
              <w:jc w:val="center"/>
              <w:rPr>
                <w:color w:val="000000"/>
                <w:lang w:eastAsia="en-US"/>
              </w:rPr>
            </w:pPr>
            <w:r>
              <w:rPr>
                <w:color w:val="000000"/>
                <w:lang w:eastAsia="en-US"/>
              </w:rPr>
              <w:t>15/6/2012</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953B03" w:rsidP="00912553">
            <w:pPr>
              <w:spacing w:after="0"/>
              <w:jc w:val="center"/>
              <w:rPr>
                <w:color w:val="000000"/>
                <w:lang w:eastAsia="en-US"/>
              </w:rPr>
            </w:pPr>
            <w:r>
              <w:rPr>
                <w:color w:val="000000"/>
                <w:lang w:eastAsia="en-US"/>
              </w:rPr>
              <w:t>15/6/2012</w:t>
            </w:r>
          </w:p>
        </w:tc>
      </w:tr>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E05787" w:rsidP="00912553">
            <w:pPr>
              <w:spacing w:after="0"/>
              <w:jc w:val="left"/>
              <w:rPr>
                <w:color w:val="000000"/>
                <w:lang w:eastAsia="en-US"/>
              </w:rPr>
            </w:pPr>
            <w:r>
              <w:rPr>
                <w:color w:val="000000"/>
                <w:lang w:eastAsia="en-US"/>
              </w:rPr>
              <w:t>Φαρμακε</w:t>
            </w:r>
            <w:r w:rsidR="00953B03">
              <w:rPr>
                <w:color w:val="000000"/>
                <w:lang w:eastAsia="en-US"/>
              </w:rPr>
              <w:t>ίο  Α.Υ.Κ  Πεδουλά</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953B03" w:rsidP="00912553">
            <w:pPr>
              <w:jc w:val="center"/>
              <w:rPr>
                <w:color w:val="000000"/>
              </w:rPr>
            </w:pPr>
            <w:r>
              <w:rPr>
                <w:color w:val="000000"/>
              </w:rPr>
              <w:t>10/7/2012</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953B03" w:rsidP="00912553">
            <w:pPr>
              <w:jc w:val="center"/>
              <w:rPr>
                <w:color w:val="000000"/>
              </w:rPr>
            </w:pPr>
            <w:r>
              <w:rPr>
                <w:color w:val="000000"/>
              </w:rPr>
              <w:t>10/7/2012</w:t>
            </w:r>
          </w:p>
        </w:tc>
      </w:tr>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4B126A" w:rsidP="00912553">
            <w:pPr>
              <w:spacing w:after="0"/>
              <w:jc w:val="left"/>
              <w:rPr>
                <w:color w:val="000000"/>
                <w:lang w:eastAsia="en-US"/>
              </w:rPr>
            </w:pPr>
            <w:r w:rsidRPr="00F42FEB">
              <w:rPr>
                <w:color w:val="000000"/>
                <w:lang w:eastAsia="en-US"/>
              </w:rPr>
              <w:t>Φαρμακείο</w:t>
            </w:r>
            <w:r w:rsidR="00E05787">
              <w:rPr>
                <w:color w:val="000000"/>
                <w:lang w:eastAsia="en-US"/>
              </w:rPr>
              <w:t xml:space="preserve"> </w:t>
            </w:r>
            <w:r w:rsidRPr="00F42FEB">
              <w:rPr>
                <w:color w:val="000000"/>
                <w:lang w:eastAsia="en-US"/>
              </w:rPr>
              <w:t xml:space="preserve"> </w:t>
            </w:r>
            <w:r w:rsidR="00953B03">
              <w:rPr>
                <w:color w:val="000000"/>
                <w:lang w:eastAsia="en-US"/>
              </w:rPr>
              <w:t>Κέντρου Υγείας  Τσερίου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953B03" w:rsidP="00912553">
            <w:pPr>
              <w:jc w:val="center"/>
              <w:rPr>
                <w:color w:val="000000"/>
              </w:rPr>
            </w:pPr>
            <w:r>
              <w:rPr>
                <w:color w:val="000000"/>
              </w:rPr>
              <w:t>12/7/2012</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953B03" w:rsidP="00912553">
            <w:pPr>
              <w:jc w:val="center"/>
              <w:rPr>
                <w:color w:val="000000"/>
              </w:rPr>
            </w:pPr>
            <w:r>
              <w:rPr>
                <w:color w:val="000000"/>
              </w:rPr>
              <w:t>12/7/2012</w:t>
            </w:r>
          </w:p>
        </w:tc>
      </w:tr>
      <w:tr w:rsidR="004B126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4B126A" w:rsidRPr="00F42FEB" w:rsidRDefault="00953B03" w:rsidP="00734E6C">
            <w:pPr>
              <w:spacing w:after="0"/>
              <w:jc w:val="left"/>
              <w:rPr>
                <w:color w:val="000000"/>
                <w:lang w:eastAsia="en-US"/>
              </w:rPr>
            </w:pPr>
            <w:r>
              <w:rPr>
                <w:color w:val="000000"/>
                <w:lang w:eastAsia="en-US"/>
              </w:rPr>
              <w:t>Φαρμακείο  Κέντρου Υγείας  Ανθούπολης</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26A" w:rsidRPr="00F42FEB" w:rsidRDefault="00953B03" w:rsidP="00E05787">
            <w:pPr>
              <w:rPr>
                <w:color w:val="000000"/>
              </w:rPr>
            </w:pPr>
            <w:r>
              <w:rPr>
                <w:color w:val="000000"/>
              </w:rPr>
              <w:t>29/6/2012</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4B126A" w:rsidRPr="00F42FEB" w:rsidRDefault="00953B03" w:rsidP="00912553">
            <w:pPr>
              <w:jc w:val="center"/>
              <w:rPr>
                <w:color w:val="000000"/>
              </w:rPr>
            </w:pPr>
            <w:r>
              <w:rPr>
                <w:color w:val="000000"/>
              </w:rPr>
              <w:t>29/6/2012</w:t>
            </w:r>
          </w:p>
        </w:tc>
      </w:tr>
      <w:tr w:rsidR="00953B03"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953B03" w:rsidRDefault="00953B03" w:rsidP="00734E6C">
            <w:pPr>
              <w:spacing w:after="0"/>
              <w:jc w:val="left"/>
              <w:rPr>
                <w:color w:val="000000"/>
                <w:lang w:eastAsia="en-US"/>
              </w:rPr>
            </w:pPr>
            <w:r>
              <w:rPr>
                <w:color w:val="000000"/>
                <w:lang w:eastAsia="en-US"/>
              </w:rPr>
              <w:t>Φαρμακείο  Κέντρου Υγείας  Λακατάμειας</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B03" w:rsidRDefault="00953B03" w:rsidP="00E05787">
            <w:pPr>
              <w:rPr>
                <w:color w:val="000000"/>
              </w:rPr>
            </w:pPr>
            <w:r>
              <w:rPr>
                <w:color w:val="000000"/>
              </w:rPr>
              <w:t>21/10/2010</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953B03" w:rsidRDefault="00953B03" w:rsidP="00912553">
            <w:pPr>
              <w:jc w:val="center"/>
              <w:rPr>
                <w:color w:val="000000"/>
              </w:rPr>
            </w:pPr>
            <w:r>
              <w:rPr>
                <w:color w:val="000000"/>
              </w:rPr>
              <w:t>15/3/2012</w:t>
            </w:r>
          </w:p>
        </w:tc>
      </w:tr>
      <w:tr w:rsidR="00953B03"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953B03" w:rsidRDefault="00953B03" w:rsidP="00734E6C">
            <w:pPr>
              <w:spacing w:after="0"/>
              <w:jc w:val="left"/>
              <w:rPr>
                <w:color w:val="000000"/>
                <w:lang w:eastAsia="en-US"/>
              </w:rPr>
            </w:pPr>
            <w:r>
              <w:rPr>
                <w:color w:val="000000"/>
                <w:lang w:eastAsia="en-US"/>
              </w:rPr>
              <w:t>Φαρμακείο</w:t>
            </w:r>
            <w:r w:rsidR="00030ADF">
              <w:rPr>
                <w:color w:val="000000"/>
                <w:lang w:eastAsia="en-US"/>
              </w:rPr>
              <w:t xml:space="preserve"> </w:t>
            </w:r>
            <w:r>
              <w:rPr>
                <w:color w:val="000000"/>
                <w:lang w:eastAsia="en-US"/>
              </w:rPr>
              <w:t xml:space="preserve"> </w:t>
            </w:r>
            <w:r w:rsidR="00030ADF">
              <w:rPr>
                <w:color w:val="000000"/>
                <w:lang w:eastAsia="en-US"/>
              </w:rPr>
              <w:t>Α.Υ.Κ  Ακακίου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B03" w:rsidRDefault="00030ADF" w:rsidP="00E05787">
            <w:pPr>
              <w:rPr>
                <w:color w:val="000000"/>
              </w:rPr>
            </w:pPr>
            <w:r>
              <w:rPr>
                <w:color w:val="000000"/>
              </w:rPr>
              <w:t>4/7/2012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953B03" w:rsidRDefault="00030ADF" w:rsidP="00912553">
            <w:pPr>
              <w:jc w:val="center"/>
              <w:rPr>
                <w:color w:val="000000"/>
              </w:rPr>
            </w:pPr>
            <w:r>
              <w:rPr>
                <w:color w:val="000000"/>
              </w:rPr>
              <w:t>4/7/2012</w:t>
            </w:r>
          </w:p>
        </w:tc>
      </w:tr>
      <w:tr w:rsidR="00030ADF"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030ADF" w:rsidRDefault="00030ADF" w:rsidP="00734E6C">
            <w:pPr>
              <w:spacing w:after="0"/>
              <w:jc w:val="left"/>
              <w:rPr>
                <w:color w:val="000000"/>
                <w:lang w:eastAsia="en-US"/>
              </w:rPr>
            </w:pPr>
            <w:r>
              <w:rPr>
                <w:color w:val="000000"/>
                <w:lang w:eastAsia="en-US"/>
              </w:rPr>
              <w:t xml:space="preserve">Φαρμακείο  Α.Υ.Κ  Παλαιχωρίου </w:t>
            </w:r>
          </w:p>
          <w:p w:rsidR="00030ADF" w:rsidRDefault="00030ADF" w:rsidP="00734E6C">
            <w:pPr>
              <w:spacing w:after="0"/>
              <w:jc w:val="left"/>
              <w:rPr>
                <w:color w:val="000000"/>
                <w:lang w:eastAsia="en-US"/>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ADF" w:rsidRDefault="00030ADF" w:rsidP="00E05787">
            <w:pPr>
              <w:rPr>
                <w:color w:val="000000"/>
              </w:rPr>
            </w:pPr>
            <w:r>
              <w:rPr>
                <w:color w:val="000000"/>
              </w:rPr>
              <w:t>20/6/</w:t>
            </w:r>
            <w:r w:rsidR="00525CEC">
              <w:rPr>
                <w:color w:val="000000"/>
                <w:lang w:val="en-US"/>
              </w:rPr>
              <w:t>20</w:t>
            </w:r>
            <w:r>
              <w:rPr>
                <w:color w:val="000000"/>
              </w:rPr>
              <w:t>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030ADF" w:rsidRDefault="00030ADF" w:rsidP="00912553">
            <w:pPr>
              <w:jc w:val="center"/>
              <w:rPr>
                <w:color w:val="000000"/>
              </w:rPr>
            </w:pPr>
            <w:r>
              <w:rPr>
                <w:color w:val="000000"/>
              </w:rPr>
              <w:t>20/6/</w:t>
            </w:r>
            <w:r w:rsidR="003B287A">
              <w:rPr>
                <w:color w:val="000000"/>
              </w:rPr>
              <w:t>20</w:t>
            </w:r>
            <w:r>
              <w:rPr>
                <w:color w:val="000000"/>
              </w:rPr>
              <w:t>12</w:t>
            </w:r>
          </w:p>
        </w:tc>
      </w:tr>
      <w:tr w:rsidR="00030ADF"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030ADF" w:rsidRDefault="00030ADF" w:rsidP="00734E6C">
            <w:pPr>
              <w:spacing w:after="0"/>
              <w:jc w:val="left"/>
              <w:rPr>
                <w:color w:val="000000"/>
                <w:lang w:eastAsia="en-US"/>
              </w:rPr>
            </w:pPr>
            <w:r>
              <w:rPr>
                <w:color w:val="000000"/>
                <w:lang w:eastAsia="en-US"/>
              </w:rPr>
              <w:t>Φαρμακείο  Α.Υ.Κ  Πλατρών</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ADF" w:rsidRDefault="00030ADF" w:rsidP="00E05787">
            <w:pPr>
              <w:rPr>
                <w:color w:val="000000"/>
              </w:rPr>
            </w:pPr>
            <w:r>
              <w:rPr>
                <w:color w:val="000000"/>
              </w:rPr>
              <w:t>12/9/2012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030ADF" w:rsidRDefault="00030ADF" w:rsidP="00912553">
            <w:pPr>
              <w:jc w:val="center"/>
              <w:rPr>
                <w:color w:val="000000"/>
              </w:rPr>
            </w:pPr>
            <w:r>
              <w:rPr>
                <w:color w:val="000000"/>
              </w:rPr>
              <w:t>12/9/2012</w:t>
            </w:r>
          </w:p>
        </w:tc>
      </w:tr>
      <w:tr w:rsidR="00030ADF"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030ADF" w:rsidRDefault="00030ADF" w:rsidP="00734E6C">
            <w:pPr>
              <w:spacing w:after="0"/>
              <w:jc w:val="left"/>
              <w:rPr>
                <w:color w:val="000000"/>
                <w:lang w:eastAsia="en-US"/>
              </w:rPr>
            </w:pPr>
            <w:r>
              <w:rPr>
                <w:color w:val="000000"/>
                <w:lang w:eastAsia="en-US"/>
              </w:rPr>
              <w:t>Φαρμακείο  Α.Υ.Κ  Αγρού</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ADF" w:rsidRDefault="00030ADF" w:rsidP="00E05787">
            <w:pPr>
              <w:rPr>
                <w:color w:val="000000"/>
              </w:rPr>
            </w:pPr>
            <w:r>
              <w:rPr>
                <w:color w:val="000000"/>
              </w:rPr>
              <w:t>19/10/2012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030ADF" w:rsidRDefault="00030ADF" w:rsidP="00912553">
            <w:pPr>
              <w:jc w:val="center"/>
              <w:rPr>
                <w:color w:val="000000"/>
              </w:rPr>
            </w:pPr>
            <w:r>
              <w:rPr>
                <w:color w:val="000000"/>
              </w:rPr>
              <w:t>19/10/2012</w:t>
            </w:r>
          </w:p>
        </w:tc>
      </w:tr>
      <w:tr w:rsidR="00030ADF"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030ADF" w:rsidRDefault="00030ADF" w:rsidP="00734E6C">
            <w:pPr>
              <w:spacing w:after="0"/>
              <w:jc w:val="left"/>
              <w:rPr>
                <w:color w:val="000000"/>
                <w:lang w:eastAsia="en-US"/>
              </w:rPr>
            </w:pPr>
            <w:r>
              <w:rPr>
                <w:color w:val="000000"/>
                <w:lang w:eastAsia="en-US"/>
              </w:rPr>
              <w:t>Φαρμακείο  Α.Υ.Κ  Αυδήμου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ADF" w:rsidRDefault="00030ADF" w:rsidP="00E05787">
            <w:pPr>
              <w:rPr>
                <w:color w:val="000000"/>
              </w:rPr>
            </w:pPr>
            <w:r>
              <w:rPr>
                <w:color w:val="000000"/>
              </w:rPr>
              <w:t>9/11/2012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030ADF" w:rsidRDefault="00030ADF" w:rsidP="00912553">
            <w:pPr>
              <w:jc w:val="center"/>
              <w:rPr>
                <w:color w:val="000000"/>
              </w:rPr>
            </w:pPr>
            <w:r>
              <w:rPr>
                <w:color w:val="000000"/>
              </w:rPr>
              <w:t>9/11/2012</w:t>
            </w:r>
          </w:p>
        </w:tc>
      </w:tr>
      <w:tr w:rsidR="00030ADF"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030ADF" w:rsidRDefault="00030ADF" w:rsidP="00734E6C">
            <w:pPr>
              <w:spacing w:after="0"/>
              <w:jc w:val="left"/>
              <w:rPr>
                <w:color w:val="000000"/>
                <w:lang w:eastAsia="en-US"/>
              </w:rPr>
            </w:pPr>
            <w:r>
              <w:rPr>
                <w:color w:val="000000"/>
                <w:lang w:eastAsia="en-US"/>
              </w:rPr>
              <w:t>Φαρμακείο  Α.Υ.Κ  Πάχνας</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ADF" w:rsidRDefault="003B287A" w:rsidP="00E05787">
            <w:pPr>
              <w:rPr>
                <w:color w:val="000000"/>
              </w:rPr>
            </w:pPr>
            <w:r>
              <w:rPr>
                <w:color w:val="000000"/>
              </w:rPr>
              <w:t>26/11/2012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030ADF" w:rsidRDefault="003B287A" w:rsidP="00912553">
            <w:pPr>
              <w:jc w:val="center"/>
              <w:rPr>
                <w:color w:val="000000"/>
              </w:rPr>
            </w:pPr>
            <w:r>
              <w:rPr>
                <w:color w:val="000000"/>
              </w:rPr>
              <w:t>26/11/2012</w:t>
            </w:r>
          </w:p>
        </w:tc>
      </w:tr>
      <w:tr w:rsidR="003B287A" w:rsidRPr="00F42FEB" w:rsidTr="00DA0025">
        <w:trPr>
          <w:trHeight w:val="537"/>
          <w:jc w:val="center"/>
        </w:trPr>
        <w:tc>
          <w:tcPr>
            <w:tcW w:w="5083" w:type="dxa"/>
            <w:tcBorders>
              <w:top w:val="single" w:sz="4" w:space="0" w:color="auto"/>
              <w:left w:val="single" w:sz="4" w:space="0" w:color="auto"/>
              <w:bottom w:val="single" w:sz="4" w:space="0" w:color="auto"/>
              <w:right w:val="nil"/>
            </w:tcBorders>
            <w:vAlign w:val="center"/>
          </w:tcPr>
          <w:p w:rsidR="003B287A" w:rsidRDefault="003B287A" w:rsidP="00734E6C">
            <w:pPr>
              <w:spacing w:after="0"/>
              <w:jc w:val="left"/>
              <w:rPr>
                <w:color w:val="000000"/>
                <w:lang w:eastAsia="en-US"/>
              </w:rPr>
            </w:pPr>
            <w:r>
              <w:rPr>
                <w:color w:val="000000"/>
                <w:lang w:eastAsia="en-US"/>
              </w:rPr>
              <w:t>Φαρμακείο  Α.Υ.Κ  Κοφίνου</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87A" w:rsidRDefault="003B287A" w:rsidP="00E05787">
            <w:pPr>
              <w:rPr>
                <w:color w:val="000000"/>
              </w:rPr>
            </w:pPr>
            <w:r>
              <w:rPr>
                <w:color w:val="000000"/>
              </w:rPr>
              <w:t>26/6/2012</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3B287A" w:rsidRDefault="003B287A" w:rsidP="00912553">
            <w:pPr>
              <w:jc w:val="center"/>
              <w:rPr>
                <w:color w:val="000000"/>
              </w:rPr>
            </w:pPr>
            <w:r>
              <w:rPr>
                <w:color w:val="000000"/>
              </w:rPr>
              <w:t>26/6/2012</w:t>
            </w:r>
          </w:p>
        </w:tc>
      </w:tr>
    </w:tbl>
    <w:p w:rsidR="00953B03" w:rsidRPr="002008D1" w:rsidRDefault="00953B03" w:rsidP="004B126A">
      <w:pPr>
        <w:rPr>
          <w:lang w:val="en-US"/>
        </w:rPr>
      </w:pPr>
    </w:p>
    <w:p w:rsidR="0086259D" w:rsidRPr="00685F60" w:rsidRDefault="00610027" w:rsidP="00685F60">
      <w:pPr>
        <w:pStyle w:val="ListParagraph"/>
        <w:numPr>
          <w:ilvl w:val="0"/>
          <w:numId w:val="14"/>
        </w:numPr>
        <w:spacing w:before="120"/>
        <w:jc w:val="both"/>
        <w:rPr>
          <w:lang w:val="el-GR"/>
        </w:rPr>
      </w:pPr>
      <w:r>
        <w:rPr>
          <w:lang w:val="el-GR"/>
        </w:rPr>
        <w:t>Το 201</w:t>
      </w:r>
      <w:r w:rsidR="00B425B1">
        <w:rPr>
          <w:lang w:val="el-GR"/>
        </w:rPr>
        <w:t>2</w:t>
      </w:r>
      <w:r>
        <w:rPr>
          <w:lang w:val="el-GR"/>
        </w:rPr>
        <w:t xml:space="preserve"> έγιναν επισκέψεις σε</w:t>
      </w:r>
      <w:r w:rsidR="004B126A" w:rsidRPr="00F42FEB">
        <w:rPr>
          <w:lang w:val="el-GR"/>
        </w:rPr>
        <w:t xml:space="preserve"> περιφερειακά φαρμακεία για προώθηση θεμάτων που αφορούν την υποδομή ώστε να επιταχυνθεί η διαδικασία εγκατάστασης των συστημάτων </w:t>
      </w:r>
      <w:r w:rsidR="004B126A" w:rsidRPr="00F42FEB">
        <w:rPr>
          <w:lang w:val="en-US"/>
        </w:rPr>
        <w:t>SAP</w:t>
      </w:r>
      <w:r w:rsidR="00685F60">
        <w:rPr>
          <w:lang w:val="el-GR"/>
        </w:rPr>
        <w:t xml:space="preserve"> και </w:t>
      </w:r>
      <w:r w:rsidR="00685F60">
        <w:rPr>
          <w:lang w:val="en-US"/>
        </w:rPr>
        <w:t>PPIS</w:t>
      </w:r>
    </w:p>
    <w:p w:rsidR="00B425B1" w:rsidRPr="0060693C" w:rsidRDefault="00B425B1" w:rsidP="00B425B1">
      <w:pPr>
        <w:pStyle w:val="ListParagraph"/>
        <w:spacing w:before="120"/>
        <w:jc w:val="both"/>
        <w:rPr>
          <w:lang w:val="el-GR"/>
        </w:rPr>
      </w:pPr>
    </w:p>
    <w:p w:rsidR="0060693C" w:rsidRPr="00F42FEB" w:rsidRDefault="0060693C" w:rsidP="005C6643">
      <w:pPr>
        <w:pStyle w:val="ListParagraph"/>
        <w:numPr>
          <w:ilvl w:val="0"/>
          <w:numId w:val="14"/>
        </w:numPr>
        <w:spacing w:before="120"/>
        <w:jc w:val="both"/>
        <w:rPr>
          <w:lang w:val="el-GR"/>
        </w:rPr>
      </w:pPr>
      <w:r>
        <w:rPr>
          <w:lang w:val="en-US"/>
        </w:rPr>
        <w:t>To</w:t>
      </w:r>
      <w:r w:rsidR="00685F60">
        <w:rPr>
          <w:lang w:val="el-GR"/>
        </w:rPr>
        <w:t xml:space="preserve"> 2012 ολοκληρώθηκαν οι εργασίες διασύνδεσης</w:t>
      </w:r>
      <w:r>
        <w:rPr>
          <w:lang w:val="el-GR"/>
        </w:rPr>
        <w:t xml:space="preserve"> του φαρμακείου του Ινστιτούτου Νευρολογίας και Γενετικής με το μηχανογραφικό σύστημα των Φαρμακευτικών Υπηρεσιών</w:t>
      </w:r>
      <w:r w:rsidR="00395B4D">
        <w:rPr>
          <w:lang w:val="el-GR"/>
        </w:rPr>
        <w:t xml:space="preserve"> και το όλον έργο βρίσκεται σε δοκιμαστική φάση.</w:t>
      </w:r>
    </w:p>
    <w:p w:rsidR="004B126A" w:rsidRPr="00F42FEB" w:rsidRDefault="00A4409B" w:rsidP="005C6643">
      <w:pPr>
        <w:pStyle w:val="ListParagraph"/>
        <w:numPr>
          <w:ilvl w:val="0"/>
          <w:numId w:val="14"/>
        </w:numPr>
        <w:spacing w:before="120"/>
        <w:contextualSpacing w:val="0"/>
        <w:jc w:val="both"/>
        <w:rPr>
          <w:lang w:val="el-GR"/>
        </w:rPr>
      </w:pPr>
      <w:r>
        <w:rPr>
          <w:lang w:val="el-GR"/>
        </w:rPr>
        <w:t xml:space="preserve">Λειτουργεί </w:t>
      </w:r>
      <w:r w:rsidR="004B126A" w:rsidRPr="00F42FEB">
        <w:rPr>
          <w:lang w:val="el-GR"/>
        </w:rPr>
        <w:t xml:space="preserve"> κέντρο τηλεφωνικής υποστήριξης των συστημάτων μηχανογράφησης  με έδρα τις Φαρμακευτικές Αποθήκες</w:t>
      </w:r>
    </w:p>
    <w:p w:rsidR="004B126A" w:rsidRPr="002008D1" w:rsidRDefault="00A4409B" w:rsidP="004B126A">
      <w:pPr>
        <w:numPr>
          <w:ilvl w:val="0"/>
          <w:numId w:val="14"/>
        </w:numPr>
        <w:spacing w:before="120" w:after="80"/>
      </w:pPr>
      <w:r>
        <w:t xml:space="preserve"> Σ</w:t>
      </w:r>
      <w:r w:rsidR="004B126A" w:rsidRPr="00F42FEB">
        <w:t>τα κεντρικά γραφεία</w:t>
      </w:r>
      <w:r>
        <w:t xml:space="preserve"> των Φαρμακευτικών Υπηρεσιών είναι εγκατεστημένος ένας διακομιστής (</w:t>
      </w:r>
      <w:r>
        <w:rPr>
          <w:lang w:val="en-US"/>
        </w:rPr>
        <w:t>server</w:t>
      </w:r>
      <w:r w:rsidRPr="00A4409B">
        <w:t xml:space="preserve">), </w:t>
      </w:r>
      <w:r>
        <w:t>ο οποίος</w:t>
      </w:r>
      <w:r w:rsidR="004B126A" w:rsidRPr="00F42FEB">
        <w:t xml:space="preserve"> επιτρέπει την ασφαλή πρόσβαση σε κοινά αρχεία (</w:t>
      </w:r>
      <w:r w:rsidR="004B126A" w:rsidRPr="00F42FEB">
        <w:rPr>
          <w:lang w:val="en-GB"/>
        </w:rPr>
        <w:t>shared</w:t>
      </w:r>
      <w:r w:rsidR="004B126A" w:rsidRPr="00F42FEB">
        <w:t xml:space="preserve"> </w:t>
      </w:r>
      <w:r w:rsidR="004B126A" w:rsidRPr="00F42FEB">
        <w:rPr>
          <w:lang w:val="en-GB"/>
        </w:rPr>
        <w:t>files</w:t>
      </w:r>
      <w:r>
        <w:t xml:space="preserve">).  Το σύστημα αυτό </w:t>
      </w:r>
      <w:r w:rsidR="004B126A" w:rsidRPr="00F42FEB">
        <w:t>περιορίζει την πιθανότητα πρόσβασης στα αρχεία αυτά από ανεπιθύμητους χρήστες η/και πιθανούς εισβολείς.</w:t>
      </w:r>
    </w:p>
    <w:p w:rsidR="00012C9B" w:rsidRDefault="00012C9B" w:rsidP="003C02BD">
      <w:pPr>
        <w:pStyle w:val="Heading3"/>
      </w:pPr>
      <w:bookmarkStart w:id="84" w:name="_Toc161205843"/>
      <w:bookmarkStart w:id="85" w:name="_Toc383086808"/>
      <w:r>
        <w:lastRenderedPageBreak/>
        <w:t>Τομέας Καθορισμού Τιμών Φαρμάκων</w:t>
      </w:r>
      <w:bookmarkEnd w:id="84"/>
      <w:bookmarkEnd w:id="85"/>
    </w:p>
    <w:p w:rsidR="00012C9B" w:rsidRPr="00012C9B" w:rsidRDefault="00012C9B" w:rsidP="00012C9B">
      <w:pPr>
        <w:spacing w:before="240"/>
      </w:pPr>
      <w:bookmarkStart w:id="86" w:name="top"/>
      <w:r w:rsidRPr="00012C9B">
        <w:t>Ο Τομέας Καθορισμού Τιμών Φαρμάκων παρέχει τη γραμματειακή υποστήριξη της Επιτροπής Ελέγχου Τιμών Φαρμάκων αξιολογώντας τις αιτήσεις καθορισμού, αύξησης και μείωσης τιμών των φαρμακευτικών προϊόντων, εφαρμόζοντας την εγκεκριμένη τιμολογιακή πολιτική. Επιπρόσθετα ετοιμάζει και επιμελείται την έκδοση του Τιμοκαταλόγου Φαρμακευτικών Προϊόντων και επεξεργάζεται τα στατιστικά δεδομένα των κυβερνητικών φαρμακείων που αφορούν: τριμηνιαία κατάσταση και πρόγραμμα εργασίας, μηνιαία κατάσταση και πρόγραμμα εργασίας, συνταγές Τουρκοκυπρίων, πωλήσεις φαρμάκων που δεν διατίθενται σε ιδιωτικά φαρμακεία.</w:t>
      </w:r>
    </w:p>
    <w:p w:rsidR="00012C9B" w:rsidRPr="00012C9B" w:rsidRDefault="00012C9B" w:rsidP="00012C9B">
      <w:r w:rsidRPr="00012C9B">
        <w:t>Συγκεκριμένα, το 201</w:t>
      </w:r>
      <w:r w:rsidR="002D38E7">
        <w:t>2 αξιολογήθηκαν 591</w:t>
      </w:r>
      <w:r w:rsidRPr="00012C9B">
        <w:t xml:space="preserve"> αιτήσεις καθορισμού τιμών και</w:t>
      </w:r>
      <w:bookmarkEnd w:id="86"/>
      <w:r w:rsidRPr="00012C9B">
        <w:t xml:space="preserve"> εγκ</w:t>
      </w:r>
      <w:r w:rsidR="002D38E7">
        <w:t>ρίθηκαν από τον Υπουργό Υγείας 5</w:t>
      </w:r>
      <w:r w:rsidR="00782FCB">
        <w:t xml:space="preserve"> συμπληρωματικοί</w:t>
      </w:r>
      <w:r w:rsidRPr="00012C9B">
        <w:t xml:space="preserve"> τ</w:t>
      </w:r>
      <w:r w:rsidR="002D38E7">
        <w:t>ιμοκατάλογοι με 500</w:t>
      </w:r>
      <w:r w:rsidRPr="00012C9B">
        <w:t xml:space="preserve"> νέα φάρμακα. Επίσης αξιολογήθηκαν</w:t>
      </w:r>
      <w:r w:rsidR="002D38E7">
        <w:t xml:space="preserve">  28</w:t>
      </w:r>
      <w:r w:rsidRPr="00012C9B">
        <w:t xml:space="preserve"> </w:t>
      </w:r>
      <w:r w:rsidR="002D38E7">
        <w:t>αιτήσεις για αύξηση τιμής, καμία δεν εγκρίθηκε και 25</w:t>
      </w:r>
      <w:r w:rsidRPr="00012C9B">
        <w:t xml:space="preserve"> αιτήσεις για μείωση τιμής εκ των </w:t>
      </w:r>
      <w:r w:rsidR="002D38E7">
        <w:t>οποίων εγκρίθηκαν όλες</w:t>
      </w:r>
      <w:r w:rsidRPr="00012C9B">
        <w:t>. Οι αιτήσεις αυτές εξετάσθηκαν από την Επιτροπή Ελέ</w:t>
      </w:r>
      <w:r w:rsidR="00782FCB">
        <w:t>γχου Τιμών Φαρμάκων σε 6</w:t>
      </w:r>
      <w:r w:rsidRPr="00012C9B">
        <w:t xml:space="preserve"> γραπτές διαδικασίες οι οποίες αφορού</w:t>
      </w:r>
      <w:r w:rsidR="00782FCB">
        <w:t>σαν καθορισμούς τιμών και σε 3</w:t>
      </w:r>
      <w:r w:rsidRPr="00012C9B">
        <w:t xml:space="preserve"> τακτικές συνεδρίες οι οποίες αφορούσαν αυξήσεις και μειώσεις τιμών.</w:t>
      </w:r>
    </w:p>
    <w:p w:rsidR="00782FCB" w:rsidRDefault="00782FCB" w:rsidP="00782FCB">
      <w:r>
        <w:t>Συνεχίστηκε η ενημέρωση του ενοποιημένου τιμοκαταλόγου φαρμακευτικών προϊόντων, στο διαδίκτυο, για άμεση και εύκολη ενημέρωση των ασθενών και όλων των ενδιαφερόμενων για τις τιμές των φαρμάκων στην Κύπρο.</w:t>
      </w:r>
    </w:p>
    <w:p w:rsidR="00012C9B" w:rsidRDefault="00782FCB" w:rsidP="00782FCB">
      <w:r>
        <w:t>Ο διαχρονικός αριθμός των φαρμάκων στον τιμοκατάλογο κατά έτος απεικονίζεται στο διάγραμμα 1.</w:t>
      </w:r>
    </w:p>
    <w:p w:rsidR="00012C9B" w:rsidRPr="00012C9B" w:rsidRDefault="00012C9B" w:rsidP="00012C9B"/>
    <w:p w:rsidR="00782FCB" w:rsidRDefault="00782FCB" w:rsidP="00782FCB">
      <w:pPr>
        <w:pStyle w:val="Caption"/>
        <w:keepNext/>
        <w:rPr>
          <w:lang w:val="el-GR"/>
        </w:rPr>
      </w:pPr>
      <w:r>
        <w:t xml:space="preserve">Διάγραμμα </w:t>
      </w:r>
      <w:r w:rsidR="00774D0A">
        <w:fldChar w:fldCharType="begin"/>
      </w:r>
      <w:r>
        <w:instrText xml:space="preserve"> SEQ Διάγραμμα \* ARABIC </w:instrText>
      </w:r>
      <w:r w:rsidR="00774D0A">
        <w:fldChar w:fldCharType="separate"/>
      </w:r>
      <w:r w:rsidR="00C17044">
        <w:rPr>
          <w:noProof/>
        </w:rPr>
        <w:t>2</w:t>
      </w:r>
      <w:r w:rsidR="00774D0A">
        <w:fldChar w:fldCharType="end"/>
      </w:r>
      <w:r>
        <w:rPr>
          <w:lang w:val="el-GR"/>
        </w:rPr>
        <w:t>:</w:t>
      </w:r>
    </w:p>
    <w:p w:rsidR="002D38E7" w:rsidRPr="002D38E7" w:rsidRDefault="002D38E7" w:rsidP="00F94DDB">
      <w:pPr>
        <w:jc w:val="center"/>
        <w:rPr>
          <w:lang w:eastAsia="en-US"/>
        </w:rPr>
      </w:pPr>
      <w:r>
        <w:rPr>
          <w:noProof/>
          <w:lang w:val="en-US" w:eastAsia="en-US"/>
        </w:rPr>
        <w:drawing>
          <wp:inline distT="0" distB="0" distL="0" distR="0">
            <wp:extent cx="4641190" cy="3182471"/>
            <wp:effectExtent l="0" t="0" r="7620" b="0"/>
            <wp:docPr id="36"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hart 3"/>
                    <pic:cNvPicPr>
                      <a:picLocks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2804" cy="3197292"/>
                    </a:xfrm>
                    <a:prstGeom prst="rect">
                      <a:avLst/>
                    </a:prstGeom>
                    <a:noFill/>
                    <a:extLst/>
                  </pic:spPr>
                </pic:pic>
              </a:graphicData>
            </a:graphic>
          </wp:inline>
        </w:drawing>
      </w:r>
    </w:p>
    <w:p w:rsidR="00782FCB" w:rsidRDefault="00782FCB" w:rsidP="0060693C">
      <w:pPr>
        <w:jc w:val="center"/>
      </w:pPr>
    </w:p>
    <w:p w:rsidR="000646A5" w:rsidRDefault="000646A5" w:rsidP="0060693C">
      <w:pPr>
        <w:jc w:val="center"/>
        <w:rPr>
          <w:lang w:val="en-US"/>
        </w:rPr>
      </w:pPr>
    </w:p>
    <w:p w:rsidR="00D706E2" w:rsidRPr="00D706E2" w:rsidRDefault="00D706E2" w:rsidP="0060693C">
      <w:pPr>
        <w:jc w:val="center"/>
        <w:rPr>
          <w:lang w:val="en-US"/>
        </w:rPr>
      </w:pPr>
    </w:p>
    <w:p w:rsidR="00F94DDB" w:rsidRDefault="00F94DDB" w:rsidP="00782FCB">
      <w:pPr>
        <w:spacing w:after="0"/>
      </w:pPr>
    </w:p>
    <w:p w:rsidR="00782FCB" w:rsidRDefault="00782FCB" w:rsidP="00782FCB">
      <w:pPr>
        <w:spacing w:after="0"/>
        <w:rPr>
          <w:b/>
        </w:rPr>
      </w:pPr>
      <w:r w:rsidRPr="000646A5">
        <w:rPr>
          <w:b/>
        </w:rPr>
        <w:lastRenderedPageBreak/>
        <w:t>Συμμετοχή σε Ευρωπαϊκά Προγράμματα, Ομάδες Εργασίες της Ε.Ε.</w:t>
      </w:r>
    </w:p>
    <w:p w:rsidR="000646A5" w:rsidRPr="000646A5" w:rsidRDefault="000646A5" w:rsidP="00782FCB">
      <w:pPr>
        <w:spacing w:after="0"/>
        <w:rPr>
          <w:b/>
        </w:rPr>
      </w:pPr>
    </w:p>
    <w:p w:rsidR="000646A5" w:rsidRPr="000646A5" w:rsidRDefault="000646A5" w:rsidP="000646A5">
      <w:r w:rsidRPr="000646A5">
        <w:t>Συμμετοχή σε ευρωπαϊκές επιτροπές και προγράμματα, όπως:</w:t>
      </w:r>
    </w:p>
    <w:p w:rsidR="000646A5" w:rsidRPr="000646A5" w:rsidRDefault="000646A5" w:rsidP="000646A5">
      <w:pPr>
        <w:numPr>
          <w:ilvl w:val="0"/>
          <w:numId w:val="29"/>
        </w:numPr>
      </w:pPr>
      <w:r w:rsidRPr="000646A5">
        <w:t>Ομάδα Εργασίας του Συμβουλίου «Φάρμακα και Ιατροτεχνολογικά Προϊόντα»: Προεδρία της Ομάδας Εργασίας στα πλαίσια της Κυπριακής Προεδρίας για την Πρόταση Οδηγίας του Ευρωπαϊκού Κοινοβουλίου και του Συμβουλίου σχετικά με τη διαφάνεια των μέτρων που ρυθμίζουν τις τιμές των φαρμάκων για ανθρώπινη χρήση και την κάλυψη του κόστους τους στο πλαίσιο των δημόσιων ασφαλιστικών συστημάτων υγείας.</w:t>
      </w:r>
    </w:p>
    <w:p w:rsidR="000646A5" w:rsidRPr="000646A5" w:rsidRDefault="000646A5" w:rsidP="000646A5">
      <w:pPr>
        <w:numPr>
          <w:ilvl w:val="0"/>
          <w:numId w:val="29"/>
        </w:numPr>
      </w:pPr>
      <w:r w:rsidRPr="000646A5">
        <w:t>Ομάδα Εμπειρογνωμόνων της Ευρωπαϊκής Επιτροπής «Transparency Committee».</w:t>
      </w:r>
    </w:p>
    <w:p w:rsidR="00782FCB" w:rsidRPr="000646A5" w:rsidRDefault="000646A5" w:rsidP="00D6511E">
      <w:pPr>
        <w:numPr>
          <w:ilvl w:val="0"/>
          <w:numId w:val="29"/>
        </w:numPr>
      </w:pPr>
      <w:r w:rsidRPr="000646A5">
        <w:t xml:space="preserve">Ευρωπαϊκό πρόγραμμα </w:t>
      </w:r>
      <w:r w:rsidRPr="000646A5">
        <w:rPr>
          <w:lang w:val="en-GB"/>
        </w:rPr>
        <w:t>Infoprice</w:t>
      </w:r>
      <w:r w:rsidRPr="000646A5">
        <w:t>: πιλοτικό πρόγραμμα ανταλλαγής πληροφοριών μεταξύ των χωρών της Ευρωπαϊκής Ένωσης, οι οποίες αφορούν τ</w:t>
      </w:r>
      <w:r w:rsidR="00D6511E">
        <w:t>ις τιμές φαρμακευτικών προϊόντων</w:t>
      </w:r>
    </w:p>
    <w:p w:rsidR="00782FCB" w:rsidRPr="000646A5" w:rsidRDefault="00782FCB" w:rsidP="00782FCB">
      <w:pPr>
        <w:spacing w:after="0"/>
      </w:pPr>
      <w:r w:rsidRPr="000646A5">
        <w:t>•</w:t>
      </w:r>
      <w:r w:rsidRPr="000646A5">
        <w:tab/>
        <w:t>Ευρωπαϊκό πρόγραμμα Euripid: δημιουργία κοινής βάσης δεδομένων που αφορά τις τιμές των φαρμάκων στα κράτη μέλη της Ευρωπαϊκής Ένωσης.</w:t>
      </w:r>
    </w:p>
    <w:p w:rsidR="00782FCB" w:rsidRPr="000646A5" w:rsidRDefault="00782FCB" w:rsidP="00782FCB">
      <w:pPr>
        <w:spacing w:after="0"/>
        <w:rPr>
          <w:b/>
        </w:rPr>
      </w:pPr>
    </w:p>
    <w:p w:rsidR="00DA0025" w:rsidRDefault="00DA0025" w:rsidP="003C02BD">
      <w:pPr>
        <w:pStyle w:val="Heading3"/>
      </w:pPr>
      <w:bookmarkStart w:id="87" w:name="_Toc383086809"/>
      <w:r w:rsidRPr="000646A5">
        <w:t>Τομέας Κλινικής</w:t>
      </w:r>
      <w:r>
        <w:t xml:space="preserve"> Φαρμακευτικής</w:t>
      </w:r>
      <w:bookmarkEnd w:id="87"/>
    </w:p>
    <w:p w:rsidR="00DA0025" w:rsidRPr="00A86010" w:rsidRDefault="00DA0025" w:rsidP="00CE4845">
      <w:pPr>
        <w:pStyle w:val="Heading4"/>
      </w:pPr>
      <w:bookmarkStart w:id="88" w:name="_Toc383086810"/>
      <w:r w:rsidRPr="00A86010">
        <w:t>Συμμετοχή στην Επιτροπή Φαρμάκων</w:t>
      </w:r>
      <w:bookmarkEnd w:id="88"/>
    </w:p>
    <w:p w:rsidR="00DA0025" w:rsidRPr="00A86010" w:rsidRDefault="00DA0025" w:rsidP="00DA0025">
      <w:pPr>
        <w:rPr>
          <w:rFonts w:cs="Arial"/>
        </w:rPr>
      </w:pPr>
      <w:r w:rsidRPr="00B76F6D">
        <w:rPr>
          <w:rFonts w:cs="Arial"/>
        </w:rPr>
        <w:t>Η Επιτροπή Φαρμάκων είναι το αρμόδιο επιστημονικό σώμα το οποίο γνωμοδοτεί βάσει εμπεριστατωμένης αξιολόγησης, για φαρμακευτικές επιλογές στα πλαίσια της συνεχούς αναβάθμισης του Κρατικού Συνταγολογίου.</w:t>
      </w:r>
      <w:r>
        <w:rPr>
          <w:rFonts w:cs="Arial"/>
        </w:rPr>
        <w:t xml:space="preserve"> </w:t>
      </w:r>
    </w:p>
    <w:p w:rsidR="00DA0025" w:rsidRPr="00A86010" w:rsidRDefault="00DA0025" w:rsidP="00CE4845">
      <w:pPr>
        <w:pStyle w:val="Heading4"/>
      </w:pPr>
      <w:bookmarkStart w:id="89" w:name="_Toc383086811"/>
      <w:r w:rsidRPr="00A86010">
        <w:t>Γραμματεία Επιτροπής Φαρμάκων</w:t>
      </w:r>
      <w:bookmarkEnd w:id="89"/>
      <w:r w:rsidRPr="00A86010">
        <w:t xml:space="preserve"> </w:t>
      </w:r>
    </w:p>
    <w:p w:rsidR="00DA0025" w:rsidRPr="00570BFD" w:rsidRDefault="00DA0025" w:rsidP="00DA0025">
      <w:pPr>
        <w:rPr>
          <w:rFonts w:cs="Arial"/>
        </w:rPr>
      </w:pPr>
      <w:r w:rsidRPr="00570BFD">
        <w:rPr>
          <w:rFonts w:cs="Arial"/>
        </w:rPr>
        <w:t>Το προσωπικό του Τομέα είναι υπεύθυνο για την ετοιμασία της ημερήσιας διάταξης της Επιτροπής Φαρμάκων, καθώς και για την αξιολόγηση των νέων φαρμάκων για τα οποία υποβάλλονται αιτήσεις για εισαγωγή τους στο Συνταγολόγιο των κρατικών νοσηλευτηρίων. Η αξιολόγηση γίνεται από εξειδικευμένο προσωπικό με την υποστήριξη των συστημάτων πληροφόρησης που διαθέτει ο Τομέας και στη βάση τεκμηριωμένης κλινικής πρακτικής και φαρμακοοικονομικής θεώρησης των προτάσεων για νέα φάρμακα.</w:t>
      </w:r>
    </w:p>
    <w:p w:rsidR="00DA0025" w:rsidRDefault="00DA0025" w:rsidP="00DA0025">
      <w:pPr>
        <w:rPr>
          <w:rFonts w:cs="Arial"/>
        </w:rPr>
      </w:pPr>
      <w:r w:rsidRPr="00570BFD">
        <w:rPr>
          <w:rFonts w:cs="Arial"/>
        </w:rPr>
        <w:t>Επίσης, οι λειτουργοί του Τομέα είναι υπεύθυνοι για την ανάπτυξη πρωτοκόλλων και κατευθυντήριων γραμμών που αφορά τη συνταγογράφηση των φαρμάκων.</w:t>
      </w:r>
    </w:p>
    <w:p w:rsidR="00DA0025" w:rsidRPr="00B76F6D" w:rsidRDefault="000646A5" w:rsidP="00DA0025">
      <w:pPr>
        <w:rPr>
          <w:rFonts w:cs="Arial"/>
        </w:rPr>
      </w:pPr>
      <w:r>
        <w:rPr>
          <w:rFonts w:cs="Arial"/>
        </w:rPr>
        <w:t>Το 2012 είχαν διεξαχθεί 5</w:t>
      </w:r>
      <w:r w:rsidR="00DA0025" w:rsidRPr="00B76F6D">
        <w:rPr>
          <w:rFonts w:cs="Arial"/>
        </w:rPr>
        <w:t xml:space="preserve"> τακτικές συνεδρίες της Επιτροπής Φαρμάκων, ό</w:t>
      </w:r>
      <w:r>
        <w:rPr>
          <w:rFonts w:cs="Arial"/>
        </w:rPr>
        <w:t>που είχαν εξετασθεί συνολικά 140</w:t>
      </w:r>
      <w:r w:rsidR="00DA0025" w:rsidRPr="00B76F6D">
        <w:rPr>
          <w:rFonts w:cs="Arial"/>
        </w:rPr>
        <w:t xml:space="preserve"> αιτήματα εκ </w:t>
      </w:r>
      <w:r>
        <w:rPr>
          <w:rFonts w:cs="Arial"/>
        </w:rPr>
        <w:t>των οποίων τα 82</w:t>
      </w:r>
      <w:r w:rsidR="00DA0025" w:rsidRPr="00B76F6D">
        <w:rPr>
          <w:rFonts w:cs="Arial"/>
        </w:rPr>
        <w:t xml:space="preserve"> αιτήματα αφορούσαν εξειδικευμένα περιστατικά για προμήθεια φαρμακευτικής αγωγής που δεν εμπίπτει στο συνταγολόγιο των κ</w:t>
      </w:r>
      <w:r>
        <w:rPr>
          <w:rFonts w:cs="Arial"/>
        </w:rPr>
        <w:t>ρατικών νοσηλευτηρίων και τα 28</w:t>
      </w:r>
      <w:r w:rsidR="00DA0025" w:rsidRPr="00B76F6D">
        <w:rPr>
          <w:rFonts w:cs="Arial"/>
        </w:rPr>
        <w:t xml:space="preserve"> αιτήματα αφορούσαν εισαγωγή νέων φαρμάκων στο συνταγολόγιο των κρατικών νοσηλευτηρίων. </w:t>
      </w:r>
      <w:r>
        <w:rPr>
          <w:rFonts w:cs="Arial"/>
        </w:rPr>
        <w:t>Επίσης το 2012</w:t>
      </w:r>
      <w:r w:rsidR="00DA0025" w:rsidRPr="00B76F6D">
        <w:rPr>
          <w:rFonts w:cs="Arial"/>
        </w:rPr>
        <w:t xml:space="preserve"> είχαν ετοιμαστεί/αναθεωρηθεί και εγκρι</w:t>
      </w:r>
      <w:r>
        <w:rPr>
          <w:rFonts w:cs="Arial"/>
        </w:rPr>
        <w:t>θεί από την Επιτροπή Φαρμάκων 4</w:t>
      </w:r>
      <w:r w:rsidR="00DA0025" w:rsidRPr="00B76F6D">
        <w:rPr>
          <w:rFonts w:cs="Arial"/>
        </w:rPr>
        <w:t xml:space="preserve"> πρωτόκολλα συνταγογράφησης φαρμάκων.</w:t>
      </w:r>
    </w:p>
    <w:p w:rsidR="00DA0025" w:rsidRPr="000646A5" w:rsidRDefault="000646A5" w:rsidP="00DA0025">
      <w:pPr>
        <w:rPr>
          <w:rFonts w:cs="Arial"/>
          <w:color w:val="FF0000"/>
        </w:rPr>
      </w:pPr>
      <w:r w:rsidRPr="008773A1">
        <w:rPr>
          <w:rFonts w:cs="Arial"/>
          <w:color w:val="000000" w:themeColor="text1"/>
        </w:rPr>
        <w:t>Επιπρόσθετα, το 2012</w:t>
      </w:r>
      <w:r w:rsidR="00395B4D" w:rsidRPr="008773A1">
        <w:rPr>
          <w:rFonts w:cs="Arial"/>
          <w:color w:val="000000" w:themeColor="text1"/>
        </w:rPr>
        <w:t xml:space="preserve"> είχαν εξετασθεί 13</w:t>
      </w:r>
      <w:r w:rsidR="00DA0025" w:rsidRPr="008773A1">
        <w:rPr>
          <w:rFonts w:cs="Arial"/>
          <w:color w:val="000000" w:themeColor="text1"/>
        </w:rPr>
        <w:t xml:space="preserve"> αιτήματα για εξειδικευμένα περιστατικά για </w:t>
      </w:r>
      <w:r w:rsidR="00DA0025" w:rsidRPr="008773A1">
        <w:rPr>
          <w:rFonts w:cs="Arial"/>
        </w:rPr>
        <w:t>προμήθεια φαρμακευτικής αγωγής που δεν εμπίπτει στο συνταγολόγιο των κρατικών νοσηλευτηρίων μέσω γραπτής διαδικασίας της Επιτροπής.</w:t>
      </w:r>
      <w:r w:rsidR="00A45121">
        <w:t>ΐ</w:t>
      </w:r>
    </w:p>
    <w:p w:rsidR="00DA0025" w:rsidRDefault="00DA0025" w:rsidP="00CE4845">
      <w:pPr>
        <w:pStyle w:val="Heading4"/>
      </w:pPr>
      <w:bookmarkStart w:id="90" w:name="_Toc383086812"/>
      <w:r>
        <w:t>Σχέδιο Επιδότησης/Συμπληρωμής</w:t>
      </w:r>
      <w:bookmarkEnd w:id="90"/>
    </w:p>
    <w:p w:rsidR="00DA0025" w:rsidRPr="002C474C" w:rsidRDefault="00DA0025" w:rsidP="00DA0025">
      <w:pPr>
        <w:rPr>
          <w:lang w:val="en-US"/>
        </w:rPr>
      </w:pPr>
      <w:r w:rsidRPr="00B76F6D">
        <w:rPr>
          <w:rFonts w:cs="Arial"/>
        </w:rPr>
        <w:t xml:space="preserve">Το προσωπικό του Τομέα είναι υπεύθυνο για την ετοιμασία εισηγήσεων προς την Επιτροπή Φαρμάκων για εμπλουτισμό του καταλόγου των φαρμάκων που περιλαμβάνονται στο σχέδιο </w:t>
      </w:r>
      <w:r w:rsidRPr="00B76F6D">
        <w:rPr>
          <w:rFonts w:cs="Arial"/>
        </w:rPr>
        <w:lastRenderedPageBreak/>
        <w:t>επιδότησης/συμπληρωμής. Επιπρόσθετα στις αρμοδιότητες του Τομέα περιλαμβάνεται η εύρυθμη λειτουργία του σχεδίου με την κατάλληλη ενημέρωση των εμπλεκόμενων και την επίλυση των προ</w:t>
      </w:r>
      <w:r w:rsidR="000646A5">
        <w:rPr>
          <w:rFonts w:cs="Arial"/>
        </w:rPr>
        <w:t>βλημάτων που προκύπτουν. Το 2012, καταγράφηκαν 6</w:t>
      </w:r>
      <w:r w:rsidRPr="00B76F6D">
        <w:rPr>
          <w:rFonts w:cs="Arial"/>
        </w:rPr>
        <w:t xml:space="preserve"> τροποποιήσεις στον κατάλογο</w:t>
      </w:r>
      <w:r>
        <w:rPr>
          <w:rFonts w:cs="Arial"/>
          <w:lang w:val="en-US"/>
        </w:rPr>
        <w:t>.</w:t>
      </w:r>
    </w:p>
    <w:p w:rsidR="00DA0025" w:rsidRDefault="00DA0025" w:rsidP="00CE4845">
      <w:pPr>
        <w:pStyle w:val="Heading4"/>
      </w:pPr>
      <w:bookmarkStart w:id="91" w:name="_Toc383086813"/>
      <w:r>
        <w:t xml:space="preserve">Διαχείριση Αιτημάτων και </w:t>
      </w:r>
      <w:r w:rsidRPr="00A86010">
        <w:t>Ενημέρωση Ιατρονοσηλευτικού προσωπικού</w:t>
      </w:r>
      <w:bookmarkEnd w:id="91"/>
    </w:p>
    <w:p w:rsidR="00DA0025" w:rsidRPr="00515A8A" w:rsidRDefault="00DA0025" w:rsidP="00DA0025">
      <w:r w:rsidRPr="00B76F6D">
        <w:t>Το προσωπικό του Τομέα είναι υπεύθυνο για την αξιολόγηση και διεκπεραίωση όλων των αιτημάτων που αποστέλλονται στις Φαρμακευτικές Υπηρεσίες και αφορούν θέματα φαρμακευτικής περίθαλψης που παρέχεται από τα Κρατικά Νοσηλευτήρια. Επιπρόσθετα ο ΤΚΦ αναλαμβάνει την ενημέρωση του εμπλεκόμενου ιατρονοσηλευτικού προσωπικού για διαδικαστικά και επιστημονικά θέματα.</w:t>
      </w:r>
    </w:p>
    <w:p w:rsidR="00DA0025" w:rsidRPr="00A86010" w:rsidRDefault="00DA0025" w:rsidP="00CE4845">
      <w:pPr>
        <w:pStyle w:val="Heading4"/>
      </w:pPr>
      <w:r>
        <w:t xml:space="preserve"> </w:t>
      </w:r>
      <w:bookmarkStart w:id="92" w:name="_Toc383086814"/>
      <w:r w:rsidRPr="00A86010">
        <w:t>Συμμετοχή σε Ιατροσυμβούλια και Επιτροπές</w:t>
      </w:r>
      <w:bookmarkEnd w:id="92"/>
    </w:p>
    <w:p w:rsidR="00DA0025" w:rsidRPr="00A86010" w:rsidRDefault="00DA0025" w:rsidP="00DA0025">
      <w:pPr>
        <w:rPr>
          <w:rFonts w:cs="Arial"/>
        </w:rPr>
      </w:pPr>
      <w:r w:rsidRPr="00A86010">
        <w:rPr>
          <w:rFonts w:cs="Arial"/>
        </w:rPr>
        <w:t>Λειτουργοί του Τομέα συμμετείχαν στις πιο κάτω επιτροπές</w:t>
      </w:r>
      <w:r>
        <w:rPr>
          <w:rFonts w:cs="Arial"/>
        </w:rPr>
        <w:t xml:space="preserve">, </w:t>
      </w:r>
      <w:r w:rsidRPr="00A86010">
        <w:rPr>
          <w:rFonts w:cs="Arial"/>
        </w:rPr>
        <w:t>ιατροσυμβούλια</w:t>
      </w:r>
      <w:r>
        <w:rPr>
          <w:rFonts w:cs="Arial"/>
        </w:rPr>
        <w:t xml:space="preserve"> και ερευνητικά προγράμματα:</w:t>
      </w:r>
    </w:p>
    <w:p w:rsidR="00DA0025" w:rsidRPr="00A86010" w:rsidRDefault="00DA0025" w:rsidP="005C6643">
      <w:pPr>
        <w:numPr>
          <w:ilvl w:val="0"/>
          <w:numId w:val="7"/>
        </w:numPr>
        <w:spacing w:after="40"/>
        <w:rPr>
          <w:rFonts w:cs="Arial"/>
        </w:rPr>
      </w:pPr>
      <w:r w:rsidRPr="00A86010">
        <w:rPr>
          <w:rFonts w:cs="Arial"/>
        </w:rPr>
        <w:t>σε ιατροσυμβούλιο για την επιλογή και την ενημέρωση ασθενών με Κατά Πλάκας Σκλήρυνση</w:t>
      </w:r>
      <w:r w:rsidRPr="00793EC1">
        <w:rPr>
          <w:rFonts w:cs="Arial"/>
        </w:rPr>
        <w:t>,</w:t>
      </w:r>
    </w:p>
    <w:p w:rsidR="00DA0025" w:rsidRPr="00A86010" w:rsidRDefault="00DA0025" w:rsidP="005C6643">
      <w:pPr>
        <w:numPr>
          <w:ilvl w:val="0"/>
          <w:numId w:val="7"/>
        </w:numPr>
        <w:spacing w:after="40"/>
        <w:rPr>
          <w:rFonts w:cs="Arial"/>
        </w:rPr>
      </w:pPr>
      <w:r w:rsidRPr="00A86010">
        <w:rPr>
          <w:rFonts w:cs="Arial"/>
        </w:rPr>
        <w:t xml:space="preserve">στην Εθνική Συντονιστική Επιτροπή για το Διαβήτη, </w:t>
      </w:r>
    </w:p>
    <w:p w:rsidR="00DA0025" w:rsidRPr="00A86010" w:rsidRDefault="00DA0025" w:rsidP="005C6643">
      <w:pPr>
        <w:numPr>
          <w:ilvl w:val="0"/>
          <w:numId w:val="7"/>
        </w:numPr>
        <w:spacing w:after="40"/>
        <w:rPr>
          <w:rFonts w:cs="Arial"/>
        </w:rPr>
      </w:pPr>
      <w:r w:rsidRPr="00A86010">
        <w:rPr>
          <w:rFonts w:cs="Arial"/>
        </w:rPr>
        <w:t>στην Επιτροπή για τη Νόσο Alzheimer</w:t>
      </w:r>
    </w:p>
    <w:p w:rsidR="00DA0025" w:rsidRPr="00A86010" w:rsidRDefault="00DA0025" w:rsidP="005C6643">
      <w:pPr>
        <w:numPr>
          <w:ilvl w:val="0"/>
          <w:numId w:val="7"/>
        </w:numPr>
        <w:spacing w:after="40"/>
        <w:rPr>
          <w:rFonts w:cs="Arial"/>
        </w:rPr>
      </w:pPr>
      <w:r w:rsidRPr="00A86010">
        <w:rPr>
          <w:rFonts w:cs="Arial"/>
        </w:rPr>
        <w:t>στην Εθνική Επιτροπή Αντιβιοτικών</w:t>
      </w:r>
    </w:p>
    <w:p w:rsidR="00DA0025" w:rsidRPr="00A86010" w:rsidRDefault="00DA0025" w:rsidP="005C6643">
      <w:pPr>
        <w:numPr>
          <w:ilvl w:val="0"/>
          <w:numId w:val="7"/>
        </w:numPr>
        <w:spacing w:after="40"/>
        <w:rPr>
          <w:rFonts w:cs="Arial"/>
        </w:rPr>
      </w:pPr>
      <w:r w:rsidRPr="00A86010">
        <w:rPr>
          <w:rFonts w:cs="Arial"/>
        </w:rPr>
        <w:t>στην Επιτροπή Διατροφικών Εντερικών Σκευασμάτων</w:t>
      </w:r>
    </w:p>
    <w:p w:rsidR="00DA0025" w:rsidRPr="00A86010" w:rsidRDefault="00DA0025" w:rsidP="005C6643">
      <w:pPr>
        <w:numPr>
          <w:ilvl w:val="0"/>
          <w:numId w:val="7"/>
        </w:numPr>
        <w:spacing w:after="40"/>
        <w:rPr>
          <w:rFonts w:cs="Arial"/>
        </w:rPr>
      </w:pPr>
      <w:r w:rsidRPr="00A86010">
        <w:rPr>
          <w:rFonts w:cs="Arial"/>
        </w:rPr>
        <w:t>στην Επιτροπή Πνευμονικής Υπέρτασης</w:t>
      </w:r>
    </w:p>
    <w:p w:rsidR="00DA0025" w:rsidRPr="00A86010" w:rsidRDefault="00DA0025" w:rsidP="005C6643">
      <w:pPr>
        <w:numPr>
          <w:ilvl w:val="0"/>
          <w:numId w:val="7"/>
        </w:numPr>
        <w:spacing w:after="40"/>
        <w:rPr>
          <w:rFonts w:cs="Arial"/>
        </w:rPr>
      </w:pPr>
      <w:r w:rsidRPr="00A86010">
        <w:rPr>
          <w:rFonts w:cs="Arial"/>
        </w:rPr>
        <w:t xml:space="preserve">στην Επιτροπή Πανδημίας Γρίπης </w:t>
      </w:r>
    </w:p>
    <w:p w:rsidR="00DA0025" w:rsidRPr="00A86010" w:rsidRDefault="00DA0025" w:rsidP="005C6643">
      <w:pPr>
        <w:numPr>
          <w:ilvl w:val="0"/>
          <w:numId w:val="7"/>
        </w:numPr>
        <w:spacing w:after="40"/>
        <w:rPr>
          <w:rFonts w:cs="Arial"/>
        </w:rPr>
      </w:pPr>
      <w:r>
        <w:rPr>
          <w:rFonts w:cs="Arial"/>
        </w:rPr>
        <w:t>στην Επιτροπή Ηλι</w:t>
      </w:r>
      <w:r w:rsidRPr="00A86010">
        <w:rPr>
          <w:rFonts w:cs="Arial"/>
        </w:rPr>
        <w:t>κιακής Εκφυλίσεως Ώχρας Κηλίδας</w:t>
      </w:r>
    </w:p>
    <w:p w:rsidR="00DA0025" w:rsidRPr="00A86010" w:rsidRDefault="00DA0025" w:rsidP="005C6643">
      <w:pPr>
        <w:numPr>
          <w:ilvl w:val="0"/>
          <w:numId w:val="7"/>
        </w:numPr>
        <w:spacing w:after="40"/>
        <w:rPr>
          <w:rFonts w:cs="Arial"/>
        </w:rPr>
      </w:pPr>
      <w:r w:rsidRPr="00A86010">
        <w:rPr>
          <w:rFonts w:cs="Arial"/>
        </w:rPr>
        <w:t>στην Επιτροπή για Φλεγμονώδεις Νόσους του Εντέρου</w:t>
      </w:r>
    </w:p>
    <w:p w:rsidR="00DA0025" w:rsidRDefault="00DA0025" w:rsidP="005C6643">
      <w:pPr>
        <w:numPr>
          <w:ilvl w:val="0"/>
          <w:numId w:val="7"/>
        </w:numPr>
        <w:spacing w:after="40"/>
        <w:rPr>
          <w:rFonts w:cs="Arial"/>
        </w:rPr>
      </w:pPr>
      <w:r w:rsidRPr="00A86010">
        <w:rPr>
          <w:rFonts w:cs="Arial"/>
        </w:rPr>
        <w:t>στην Επιτροπή για Ρευματικές Παθήσεις</w:t>
      </w:r>
    </w:p>
    <w:p w:rsidR="00DA0025" w:rsidRDefault="00DA0025" w:rsidP="005C6643">
      <w:pPr>
        <w:numPr>
          <w:ilvl w:val="0"/>
          <w:numId w:val="7"/>
        </w:numPr>
        <w:spacing w:after="40"/>
        <w:rPr>
          <w:rFonts w:cs="Arial"/>
        </w:rPr>
      </w:pPr>
      <w:r>
        <w:rPr>
          <w:rFonts w:cs="Arial"/>
        </w:rPr>
        <w:t>στην Επιτροπή για Αιματολογικές Παθήσεις</w:t>
      </w:r>
    </w:p>
    <w:p w:rsidR="00DA0025" w:rsidRDefault="00DA0025" w:rsidP="005C6643">
      <w:pPr>
        <w:numPr>
          <w:ilvl w:val="0"/>
          <w:numId w:val="7"/>
        </w:numPr>
        <w:spacing w:after="40"/>
        <w:rPr>
          <w:rFonts w:cs="Arial"/>
        </w:rPr>
      </w:pPr>
      <w:r>
        <w:rPr>
          <w:rFonts w:cs="Arial"/>
        </w:rPr>
        <w:t>στην Επιτροπή για Αντικαρκινικά Φάρμακα</w:t>
      </w:r>
    </w:p>
    <w:p w:rsidR="00DA0025" w:rsidRDefault="00DA0025" w:rsidP="005C6643">
      <w:pPr>
        <w:numPr>
          <w:ilvl w:val="0"/>
          <w:numId w:val="7"/>
        </w:numPr>
        <w:spacing w:after="40"/>
        <w:rPr>
          <w:rFonts w:cs="Arial"/>
        </w:rPr>
      </w:pPr>
      <w:r>
        <w:rPr>
          <w:rFonts w:cs="Arial"/>
        </w:rPr>
        <w:t>στην Επιτροπή Ψυχικών Παθήσεων</w:t>
      </w:r>
    </w:p>
    <w:p w:rsidR="00DA0025" w:rsidRPr="00A86010" w:rsidRDefault="00DA0025" w:rsidP="005C6643">
      <w:pPr>
        <w:numPr>
          <w:ilvl w:val="0"/>
          <w:numId w:val="7"/>
        </w:numPr>
        <w:spacing w:after="40"/>
        <w:rPr>
          <w:rFonts w:cs="Arial"/>
        </w:rPr>
      </w:pPr>
      <w:r>
        <w:rPr>
          <w:rFonts w:cs="Arial"/>
        </w:rPr>
        <w:t>στο Ευρωπαϊκό Πρόγραμμα Παρακολούθησης Κατανάλωσης Αντιβιοτικών Φαρμάκων (</w:t>
      </w:r>
      <w:r>
        <w:rPr>
          <w:rFonts w:cs="Arial"/>
          <w:lang w:val="en-GB"/>
        </w:rPr>
        <w:t>ESAC</w:t>
      </w:r>
      <w:r w:rsidRPr="00F369CD">
        <w:rPr>
          <w:rFonts w:cs="Arial"/>
        </w:rPr>
        <w:t>)</w:t>
      </w:r>
    </w:p>
    <w:p w:rsidR="00DA0025" w:rsidRPr="00A86010" w:rsidRDefault="00DA0025" w:rsidP="00CE4845">
      <w:pPr>
        <w:pStyle w:val="Heading4"/>
      </w:pPr>
      <w:bookmarkStart w:id="93" w:name="_Toc383086815"/>
      <w:r w:rsidRPr="00A86010">
        <w:t>Υποστήριξη Τομέα Προμηθειών</w:t>
      </w:r>
      <w:bookmarkEnd w:id="93"/>
    </w:p>
    <w:p w:rsidR="00DA0025" w:rsidRPr="00A86010" w:rsidRDefault="00DA0025" w:rsidP="00DA0025">
      <w:r w:rsidRPr="00570BFD">
        <w:t>Ο Τομέας υποστηρίζει τον Τομέα Προμηθειών σε θέματα που αφορούν σε προδιαγραφές τόσο για υφιστάμενα φάρμακα όσο και νέα φάρμακα σύμφωνα με τις αποφάσεις της Επιτροπής Φαρμάκων. Αντίστοιχα γνωμοδοτεί σε θέματα ενστάσεων που υποβάλλονται κατά τη διαδικασία προσφορών.</w:t>
      </w:r>
    </w:p>
    <w:p w:rsidR="00DA0025" w:rsidRPr="00A86010" w:rsidRDefault="00DA0025" w:rsidP="00CE4845">
      <w:pPr>
        <w:pStyle w:val="Heading4"/>
      </w:pPr>
      <w:bookmarkStart w:id="94" w:name="_Toc383086816"/>
      <w:r w:rsidRPr="00A86010">
        <w:t>Φαρμακοεπιδημιολογία- Φαρμακο</w:t>
      </w:r>
      <w:r w:rsidR="00734E6C">
        <w:t>οι</w:t>
      </w:r>
      <w:r w:rsidRPr="00A86010">
        <w:t>κονομία</w:t>
      </w:r>
      <w:bookmarkEnd w:id="94"/>
      <w:r w:rsidRPr="00A86010">
        <w:t xml:space="preserve"> </w:t>
      </w:r>
    </w:p>
    <w:p w:rsidR="00DA0025" w:rsidRDefault="00DA0025" w:rsidP="00DA0025">
      <w:r w:rsidRPr="00570BFD">
        <w:t>Ο Τομέας ασκεί έλεγχο και επεξεργάζεται στοιχεία κατανάλωσης και δαπανών στα φάρμακα ετοιμάζοντας φαρμακο</w:t>
      </w:r>
      <w:r w:rsidR="00734E6C">
        <w:t>οι</w:t>
      </w:r>
      <w:r w:rsidRPr="00570BFD">
        <w:t>κονομικές και φαρμακοεπιδημιολογικές μελέτες που αποσκοπούν σε ενημέρωση, λήψη διορθωτικών μέτρων για ορθολογιστική χρήση των διαθέσιμων φαρμάκων και έλεγχο του ρυθμού αύξησης των δαπανών.</w:t>
      </w:r>
      <w:r>
        <w:t xml:space="preserve"> </w:t>
      </w:r>
    </w:p>
    <w:p w:rsidR="0051507E" w:rsidRDefault="0051507E" w:rsidP="00DA0025"/>
    <w:p w:rsidR="00C64551" w:rsidRDefault="00C64551" w:rsidP="003C02BD">
      <w:pPr>
        <w:pStyle w:val="Heading3"/>
      </w:pPr>
      <w:bookmarkStart w:id="95" w:name="_Toc383086817"/>
      <w:r>
        <w:lastRenderedPageBreak/>
        <w:t>Τομέας Εναρμόνισης της Νομοθεσίας και Διεθνών Σχέσεων</w:t>
      </w:r>
      <w:bookmarkEnd w:id="95"/>
    </w:p>
    <w:p w:rsidR="000646A5" w:rsidRDefault="000646A5" w:rsidP="000646A5">
      <w:r>
        <w:t xml:space="preserve">Ο Τομέας έχει την ευθύνη του συντονισμού των προσπαθειών που καταβάλλονται για την εναρμόνιση των νομοθεσιών με το κοινοτικό κεκτημένο για την εφαρμογή των οποίων  είναι υπεύθυνες οι Φαρμακευτικές Υπηρεσίες. Συγκεκριμένα, ο Τομέας είναι επιφορτισμένος με τις εξής δραστηριότητες: </w:t>
      </w:r>
    </w:p>
    <w:p w:rsidR="000646A5" w:rsidRDefault="000646A5" w:rsidP="000646A5">
      <w:pPr>
        <w:pStyle w:val="ListBullet"/>
        <w:numPr>
          <w:ilvl w:val="0"/>
          <w:numId w:val="30"/>
        </w:numPr>
        <w:spacing w:before="120"/>
        <w:ind w:left="461" w:hanging="461"/>
      </w:pPr>
      <w:r>
        <w:t xml:space="preserve">Μελέτη των Οδηγιών, Κανονισμών, Αποφάσεων και Νομολογιών της Ευρωπαϊκής Ένωσης που άπτονται θεμάτων που εμπίπτουν στα καθήκοντα των Φαρμακευτικών Υπηρεσιών, </w:t>
      </w:r>
    </w:p>
    <w:p w:rsidR="000646A5" w:rsidRDefault="000646A5" w:rsidP="000646A5">
      <w:pPr>
        <w:pStyle w:val="ListBullet"/>
        <w:numPr>
          <w:ilvl w:val="0"/>
          <w:numId w:val="30"/>
        </w:numPr>
        <w:spacing w:before="120"/>
        <w:ind w:left="461" w:hanging="461"/>
      </w:pPr>
      <w:r>
        <w:t xml:space="preserve">Παρακολούθηση του Κοινοτικού Κεκτημένου όπως αυτό διαμορφώνεται ώστε να γίνονται έγκαιρα οι απαραίτητες ενέργειες για την υιοθέτησή του (για το θέμα αυτό έχουν δημιουργηθεί Επιτελικές Ομάδες δυνάμει της Απόφασης του Υπουργικού Συμβουλίου με αρ. 58.881), </w:t>
      </w:r>
    </w:p>
    <w:p w:rsidR="000646A5" w:rsidRDefault="000646A5" w:rsidP="000646A5">
      <w:pPr>
        <w:pStyle w:val="ListBullet"/>
        <w:numPr>
          <w:ilvl w:val="0"/>
          <w:numId w:val="30"/>
        </w:numPr>
        <w:spacing w:before="120"/>
        <w:ind w:left="461" w:hanging="461"/>
      </w:pPr>
      <w:r>
        <w:t xml:space="preserve">Σύνταξη νομοσχεδίων, προσχεδίων Κανονισμών και Διαταγμάτων έτσι ώστε το κυπριακό Δίκαιο να συνάδει με το κοινοτικό κεκτημένο, λαμβάνοντας υπόψη τις υφιστάμενες δομές και θεσμούς οι οποίοι έχουν την ευθύνη εφαρμογής τους, </w:t>
      </w:r>
    </w:p>
    <w:p w:rsidR="000646A5" w:rsidRDefault="000646A5" w:rsidP="000646A5">
      <w:pPr>
        <w:pStyle w:val="ListBullet"/>
        <w:numPr>
          <w:ilvl w:val="0"/>
          <w:numId w:val="30"/>
        </w:numPr>
        <w:spacing w:before="120"/>
        <w:ind w:left="461" w:hanging="461"/>
      </w:pPr>
      <w:r>
        <w:t xml:space="preserve">Στενή συνεργασία με τη Νομική Υπηρεσία της Δημοκρατίας για τη διεκπεραίωση των πιο πάνω, ειδικότερα όσον αφορά στη νομοτεχνική επεξεργασία των διαφόρων νομοθετημάτων, </w:t>
      </w:r>
    </w:p>
    <w:p w:rsidR="000646A5" w:rsidRDefault="000646A5" w:rsidP="000646A5">
      <w:pPr>
        <w:pStyle w:val="ListBullet"/>
        <w:numPr>
          <w:ilvl w:val="0"/>
          <w:numId w:val="30"/>
        </w:numPr>
        <w:spacing w:before="120"/>
        <w:ind w:left="461" w:hanging="461"/>
      </w:pPr>
      <w:r>
        <w:t xml:space="preserve">Σύνταξη ειδικών Επεξηγηματικών Σημειωμάτων και Αναλύσεων Αντίχτυπου για τη Βουλή των Αντιπροσώπων σε μορφή που καθορίστηκε από την Κοινοβουλευτική Επιτροπή Ευρωπαϊκών Υποθέσεων για κάθε νομοσχέδιο ή Σχέδιο Κανονισμών που πρόκειται να τεθεί ενώπιον της Ολομέλειας για ψήφιση, </w:t>
      </w:r>
    </w:p>
    <w:p w:rsidR="000646A5" w:rsidRDefault="000646A5" w:rsidP="000646A5">
      <w:pPr>
        <w:pStyle w:val="ListBullet"/>
        <w:numPr>
          <w:ilvl w:val="0"/>
          <w:numId w:val="30"/>
        </w:numPr>
        <w:spacing w:before="120"/>
        <w:ind w:left="461" w:hanging="461"/>
      </w:pPr>
      <w:r>
        <w:t>Εκπροσώπηση των Φαρμακευτικών Υπηρεσιών στις συνεδρίες των αρμοδίων Κοινοβουλευτικών Επιτροπών της Βουλής των Αντιπροσώπων για την παροχή τυχόν πρόσθετης πληροφόρησης και διευκρινήσεων στους βουλευτές μέλη των εν λόγω Επιτροπών.</w:t>
      </w:r>
    </w:p>
    <w:p w:rsidR="000646A5" w:rsidRDefault="000646A5" w:rsidP="000646A5">
      <w:pPr>
        <w:pStyle w:val="ListBullet"/>
        <w:numPr>
          <w:ilvl w:val="0"/>
          <w:numId w:val="30"/>
        </w:numPr>
        <w:spacing w:before="120"/>
        <w:ind w:left="461" w:hanging="461"/>
      </w:pPr>
      <w:r>
        <w:t xml:space="preserve">Σύνταξη εκθέσεων για την πρόοδο της εναρμόνισης, ειδικότερα όσον αφορά στις εκκρεμότητες και στον καθορισμό χρονοδιαγραμμάτων καθώς και άλλα συναφή θέματα, ώστε να κρατούνται ενήμεροι οι ενδιαφερόμενοι (άλλοι συντονιστές, Γραφείο Προγραμματισμού κλπ). </w:t>
      </w:r>
    </w:p>
    <w:p w:rsidR="000646A5" w:rsidRDefault="000646A5" w:rsidP="000646A5"/>
    <w:p w:rsidR="000646A5" w:rsidRDefault="000646A5" w:rsidP="000646A5">
      <w:pPr>
        <w:spacing w:after="100" w:afterAutospacing="1"/>
      </w:pPr>
      <w:r>
        <w:t xml:space="preserve">Κατά το 2012 ολοκληρώθηκε η ετοιμασία των ακόλουθων νομοθετημάτων σχετικά με την εναρμόνιση με το κοινοτικό κεκτημένο καθώς και για τη διευκόλυνση της εφαρμογής τους. </w:t>
      </w:r>
    </w:p>
    <w:p w:rsidR="000646A5" w:rsidRDefault="000646A5" w:rsidP="000646A5">
      <w:r>
        <w:rPr>
          <w:b/>
        </w:rPr>
        <w:t>Φάρμακα Ανθρώπινης Χρήσης</w:t>
      </w:r>
    </w:p>
    <w:p w:rsidR="000646A5" w:rsidRDefault="000646A5" w:rsidP="000646A5"/>
    <w:p w:rsidR="000646A5" w:rsidRPr="000646A5" w:rsidRDefault="000646A5" w:rsidP="000646A5">
      <w:pPr>
        <w:pStyle w:val="ListParagraph"/>
        <w:numPr>
          <w:ilvl w:val="0"/>
          <w:numId w:val="31"/>
        </w:numPr>
        <w:spacing w:after="120"/>
        <w:jc w:val="both"/>
        <w:rPr>
          <w:lang w:val="el-GR"/>
        </w:rPr>
      </w:pPr>
      <w:r w:rsidRPr="000646A5">
        <w:rPr>
          <w:lang w:val="el-GR"/>
        </w:rPr>
        <w:t>Ο περί Φαρμάκων Ανθρώπινης Χρήσης (Έλεγχος Ποιότητας Προμήθειας και Τιμών) (Τροποποιητικός) Νόμος 63(Ι) του 2012, για σκοπούς εναρμόνισης με την Οδηγία 2012/84/ΕΕ αναφορικά με την φαρμακοεπαγρύπνηση.</w:t>
      </w:r>
    </w:p>
    <w:p w:rsidR="000646A5" w:rsidRDefault="000646A5" w:rsidP="000646A5"/>
    <w:p w:rsidR="000646A5" w:rsidRPr="000646A5" w:rsidRDefault="000646A5" w:rsidP="000646A5">
      <w:pPr>
        <w:pStyle w:val="ListParagraph"/>
        <w:numPr>
          <w:ilvl w:val="0"/>
          <w:numId w:val="31"/>
        </w:numPr>
        <w:spacing w:after="120"/>
        <w:jc w:val="both"/>
        <w:rPr>
          <w:lang w:val="el-GR"/>
        </w:rPr>
      </w:pPr>
      <w:r w:rsidRPr="000646A5">
        <w:rPr>
          <w:lang w:val="el-GR"/>
        </w:rPr>
        <w:t>Ο περί Φαρμάκων Ανθρώπινης Χρήσης (Έλεγχος Ποιότητας Προμήθειας και Τιμών) (Τροποποιητικός) (Αρ. 2) Νόμος 209(Ι) του 2012, για σκοπούς εναρμόνισης με την Οδηγία 2011/62/ΕΕ αναφορικά με τα ψευδεπίγραφα φαρμακευτικά προϊόντα</w:t>
      </w:r>
    </w:p>
    <w:p w:rsidR="000646A5" w:rsidRDefault="000646A5" w:rsidP="000646A5"/>
    <w:p w:rsidR="000646A5" w:rsidRDefault="000646A5" w:rsidP="000646A5">
      <w:pPr>
        <w:rPr>
          <w:b/>
        </w:rPr>
      </w:pPr>
      <w:r>
        <w:rPr>
          <w:b/>
        </w:rPr>
        <w:lastRenderedPageBreak/>
        <w:t xml:space="preserve">Καλλυντικά Προϊόντα </w:t>
      </w:r>
    </w:p>
    <w:p w:rsidR="000646A5" w:rsidRDefault="000646A5" w:rsidP="000646A5"/>
    <w:p w:rsidR="000646A5" w:rsidRPr="000646A5" w:rsidRDefault="000646A5" w:rsidP="000646A5">
      <w:pPr>
        <w:pStyle w:val="ListParagraph"/>
        <w:numPr>
          <w:ilvl w:val="0"/>
          <w:numId w:val="32"/>
        </w:numPr>
        <w:spacing w:after="120"/>
        <w:jc w:val="both"/>
        <w:rPr>
          <w:lang w:val="el-GR"/>
        </w:rPr>
      </w:pPr>
      <w:r w:rsidRPr="000646A5">
        <w:rPr>
          <w:lang w:val="el-GR"/>
        </w:rPr>
        <w:t>Το περί Καλλυντικών Προϊόντων Διάταγμα του 2012 (ΚΔΠ 101 του 2012), για σκοπούς εναρμόνισης με την Οδηγία 2011/59/ΕΕ για την τροποποίηση της Οδηγίας 76/768/ΕΟΚ του Συμβουλίου σχετικά με τα καλλυντικά προϊόντα, με σκοπό την προσαρμογή των παραρτημάτων ΙΙ και ΙΙΙ στην τεχνική πρόοδο.</w:t>
      </w:r>
    </w:p>
    <w:p w:rsidR="000646A5" w:rsidRDefault="000646A5" w:rsidP="000646A5">
      <w:pPr>
        <w:rPr>
          <w:b/>
        </w:rPr>
      </w:pPr>
    </w:p>
    <w:p w:rsidR="000646A5" w:rsidRDefault="000646A5" w:rsidP="000646A5">
      <w:pPr>
        <w:rPr>
          <w:b/>
        </w:rPr>
      </w:pPr>
      <w:r>
        <w:rPr>
          <w:b/>
        </w:rPr>
        <w:t>Κλινικές</w:t>
      </w:r>
      <w:r>
        <w:t xml:space="preserve"> </w:t>
      </w:r>
      <w:r>
        <w:rPr>
          <w:b/>
        </w:rPr>
        <w:t>Δοκιμές</w:t>
      </w:r>
    </w:p>
    <w:p w:rsidR="000646A5" w:rsidRDefault="000646A5" w:rsidP="000646A5"/>
    <w:p w:rsidR="000646A5" w:rsidRDefault="000646A5" w:rsidP="000646A5">
      <w:r>
        <w:t>Κατά το 2012 κατατέθηκαν αιτήσεις για 3 κλινικές δοκιμές από τις οποίες εγκρίθηκαν από το Συμβούλιο Φαρμάκων οι 2.  Με την εφαρμογή του Ευρωπαϊκού νομοθετικού πλαισίου που ρυθμίζει τις κλινικές δοκιμές στην Κύπρο, παρουσιάσθηκε έντονο ενδιαφέρον τόσο από οίκους του εξωτερικού όσο και από τοπικές κλινικές για την διεξαγωγή κλινικών δοκιμών.  Η ενθάρρυνση της κλινικής έρευνας θα δώσει νέα ώθηση στην αναβάθμιση της παροχής υγείας.  Κύπριοι ερευνητές έχουν την ευκαιρία να συμμετάσχουν στη διεθνή έρευνα για την ανάπτυξη καινοτόμων θεραπευτικών προσεγγίσεων.</w:t>
      </w:r>
    </w:p>
    <w:p w:rsidR="00452E53" w:rsidRPr="00452E53" w:rsidRDefault="00452E53" w:rsidP="00452E53"/>
    <w:p w:rsidR="00452E53" w:rsidRPr="00452E53" w:rsidRDefault="00F94DDB" w:rsidP="003C02BD">
      <w:pPr>
        <w:pStyle w:val="Heading3"/>
      </w:pPr>
      <w:bookmarkStart w:id="96" w:name="_Toc383086818"/>
      <w:r>
        <w:t>Τομέας Καλλυντικών Προϊόντων</w:t>
      </w:r>
      <w:bookmarkEnd w:id="96"/>
    </w:p>
    <w:p w:rsidR="000646A5" w:rsidRDefault="000646A5" w:rsidP="00F94DDB">
      <w:pPr>
        <w:pStyle w:val="BodyText"/>
        <w:spacing w:before="120"/>
        <w:rPr>
          <w:i w:val="0"/>
          <w:sz w:val="24"/>
        </w:rPr>
      </w:pPr>
      <w:r>
        <w:rPr>
          <w:i w:val="0"/>
          <w:sz w:val="24"/>
        </w:rPr>
        <w:t xml:space="preserve">Η κυκλοφορία των καλλυντικών προϊόντων στην Κυπριακή αγορά, η παρασκευή των καλλυντικών προϊόντων στην Κύπρο και ο έλεγχος της αγοράς, ρυθμίζονται από τους Περί Καλλυντικών Προϊόντων Νόμους του 2001-2010, τους Περί Καλλυντικών Προϊόντων (Μέθοδοι Δειγματοληψίας και Ανάλυσης) Κανονισμούς του 2001 και τους περί καλλυντικών προϊόντων (Κανόνες Ορθής Βιομηχανικής Πρακτικής) Κανονισμούς του 2004. </w:t>
      </w:r>
    </w:p>
    <w:p w:rsidR="000646A5" w:rsidRDefault="000646A5" w:rsidP="000646A5">
      <w:pPr>
        <w:pStyle w:val="BodyText"/>
        <w:spacing w:before="120" w:after="0"/>
        <w:rPr>
          <w:i w:val="0"/>
          <w:sz w:val="24"/>
        </w:rPr>
      </w:pPr>
      <w:r>
        <w:rPr>
          <w:i w:val="0"/>
          <w:sz w:val="24"/>
        </w:rPr>
        <w:t>Σύμφωνα με τους Περί Καλλυντικών Προϊόντων Νόμους,  έχει ιδρυθεί Συμβούλιο Καλλυντικών το οποίο είναι η Αρμόδια Αρχή για τη ρύθμιση της κυκλοφορίας των καλλυντικών προϊόντων στην Κύπρο.</w:t>
      </w:r>
    </w:p>
    <w:p w:rsidR="000646A5" w:rsidRDefault="000646A5" w:rsidP="000646A5">
      <w:pPr>
        <w:pStyle w:val="BodyText"/>
        <w:spacing w:before="120" w:after="0"/>
        <w:rPr>
          <w:i w:val="0"/>
          <w:sz w:val="24"/>
        </w:rPr>
      </w:pPr>
      <w:r>
        <w:rPr>
          <w:i w:val="0"/>
          <w:sz w:val="24"/>
        </w:rPr>
        <w:t xml:space="preserve">Οι κύριες αρμοδιότητες του Συμβουλίου Καλλυντικών είναι  η έκδοση αδειών διάθεσης στην αγορά καλλυντικών προϊόντων που περιέχουν απαγορευμένες ουσίες, αδειών διασφάλισης εμπορικού απορρήτου, αναφορικά με τα συστατικά καλλυντικών προϊόντων και αδειών παρασκευής καλλυντικών προϊόντων. Το Συμβούλιο έχει επιπλέον συμβουλευτικές αρμοδιότητες προς τον Υπουργό Υγείας, για θέματα που αφορούν τα καλλυντικά προϊόντα. </w:t>
      </w:r>
    </w:p>
    <w:p w:rsidR="000646A5" w:rsidRDefault="000646A5" w:rsidP="000646A5">
      <w:pPr>
        <w:pStyle w:val="BodyText"/>
        <w:spacing w:before="120" w:after="0"/>
        <w:rPr>
          <w:i w:val="0"/>
          <w:iCs w:val="0"/>
          <w:sz w:val="24"/>
        </w:rPr>
      </w:pPr>
      <w:r>
        <w:rPr>
          <w:i w:val="0"/>
          <w:sz w:val="24"/>
        </w:rPr>
        <w:t>Ο Τομέας Καλλυντικών των Φαρμακευτικών Υπηρεσιών παρέχει όλη τη γραμματειακή και διοικητική υποστήριξη προς το Συμβούλιο Καλλυντικών.</w:t>
      </w:r>
      <w:r>
        <w:rPr>
          <w:i w:val="0"/>
          <w:iCs w:val="0"/>
          <w:sz w:val="24"/>
        </w:rPr>
        <w:t xml:space="preserve">  </w:t>
      </w:r>
    </w:p>
    <w:p w:rsidR="000646A5" w:rsidRDefault="000646A5" w:rsidP="00CE4845">
      <w:pPr>
        <w:pStyle w:val="Heading4"/>
      </w:pPr>
      <w:bookmarkStart w:id="97" w:name="_Toc227378436"/>
      <w:bookmarkStart w:id="98" w:name="_Toc383086819"/>
      <w:r>
        <w:t>Συμβούλιο Καλλυντικών</w:t>
      </w:r>
      <w:bookmarkEnd w:id="97"/>
      <w:bookmarkEnd w:id="98"/>
      <w:r>
        <w:t xml:space="preserve"> </w:t>
      </w:r>
    </w:p>
    <w:p w:rsidR="000646A5" w:rsidRDefault="000646A5" w:rsidP="000646A5">
      <w:pPr>
        <w:pStyle w:val="BodyText"/>
        <w:rPr>
          <w:i w:val="0"/>
          <w:sz w:val="24"/>
        </w:rPr>
      </w:pPr>
      <w:r>
        <w:rPr>
          <w:i w:val="0"/>
          <w:sz w:val="24"/>
        </w:rPr>
        <w:t>Κατά το 2012, έγινε 1 συνεδρία του Συμβουλίου Καλλυντικών, στην οποία εξετάστηκαν διάφορα θέματα που αφορούν τα καλλυντικά προϊόντα (Έκδοση Αδειών Παρασκευής Καλλυντικών, Δίκτυο Ταχείας Ανταλλαγής Πληροφοριών, Πρόγραμμα Δειγματοληψίας και ανάλυσης καλλυντικών προϊόντων κ.λ.π.).</w:t>
      </w:r>
    </w:p>
    <w:p w:rsidR="000646A5" w:rsidRDefault="000646A5" w:rsidP="00CE4845">
      <w:pPr>
        <w:pStyle w:val="Heading4"/>
      </w:pPr>
      <w:bookmarkStart w:id="99" w:name="_Toc227378437"/>
      <w:bookmarkStart w:id="100" w:name="_Toc383086820"/>
      <w:r>
        <w:t>Περί Καλλυντικών Προϊόντων Κανονισμοί</w:t>
      </w:r>
      <w:bookmarkEnd w:id="99"/>
      <w:bookmarkEnd w:id="100"/>
      <w:r>
        <w:t xml:space="preserve">  </w:t>
      </w:r>
    </w:p>
    <w:p w:rsidR="000646A5" w:rsidRDefault="000646A5" w:rsidP="000646A5">
      <w:pPr>
        <w:ind w:right="29"/>
      </w:pPr>
      <w:r>
        <w:t xml:space="preserve">Οι περί Καλλυντικών Προϊόντων (Κανόνες Ορθής Βιομηχανικής Πρακτικής) Κανονισμοί του 2004, είχαν ψηφισθεί το 2004,  και τέθηκαν σε ισχύ με απόφαση του Υπουργικού Συμβουλίου στις 30/06/2006. </w:t>
      </w:r>
    </w:p>
    <w:p w:rsidR="000646A5" w:rsidRDefault="000646A5" w:rsidP="000646A5">
      <w:pPr>
        <w:ind w:right="29"/>
      </w:pPr>
      <w:r>
        <w:lastRenderedPageBreak/>
        <w:t>Σύμφωνα με τους πιο πάνω Κανονισμούς, η ολική ή μερική παρασκευή καλλυντικών προϊόντων, επιτρέπεται μόνο μετά από άδεια που χορηγεί το Συμβούλιο Καλλυντικών. Το Συμβούλιο Καλλυντικών εκδίδει την άδεια παρασκευής μόνο εφόσον ικανοποιούνται συγκεκριμένα κριτήρια, μετά από επιθεώρηση που διενεργείται από εντεταλμένους επιθεωρητές των Φαρμακευτικών Υπηρεσιών και σχετική εισήγηση τους προς το Συμβούλιο Καλλυντικών.</w:t>
      </w:r>
    </w:p>
    <w:p w:rsidR="000646A5" w:rsidRDefault="000646A5" w:rsidP="000646A5">
      <w:pPr>
        <w:ind w:right="29"/>
      </w:pPr>
      <w:r>
        <w:t xml:space="preserve">Με βάση τους πιο πάνω Κανονισμούς, όλοι οι Κατασκευαστές Καλλυντικών Προϊόντων στην Κύπρο είναι υποχρεωμένοι να υποβάλουν σχετική αίτηση για έκδοση Άδειας Παρασκευής, ταυτόχρονα με αίτηση για επιθεώρηση των υποστατικών τους. Κατά το 2012 δεν υποβλήθηκαν νέες αιτήσεις για εξασφάλιση άδειας, ενώ από το Συμβούλιο Καλλυντικών εκδόθηκαν 2 επιπλέον Άδειες Παρασκευής Καλλυντικών Προϊόντων. </w:t>
      </w:r>
    </w:p>
    <w:p w:rsidR="000646A5" w:rsidRDefault="000646A5" w:rsidP="000646A5">
      <w:pPr>
        <w:ind w:right="29"/>
      </w:pPr>
      <w:r>
        <w:t>Στόχος του Τομέα Καλλυντικών για το 2013 είναι ο έλεγχος της συνέχισης τήρησης των Κανόνων Ορθής Βιομηχανικής Πρακτικής, των παρασκευαστών που έχουν ήδη εξασφαλίσει Άδεια, με σκοπό την αποτελεσματική προστασία και ασφάλεια των καταναλωτών. Επίσης συνεχίζονται οι έλεγχοι με σκοπό τον εντοπισμό και άλλων παρασκευαστών που δεν έχουν εξασφαλίσει Άδεια Παρασκευής.</w:t>
      </w:r>
    </w:p>
    <w:p w:rsidR="000646A5" w:rsidRDefault="000646A5" w:rsidP="00CE4845">
      <w:pPr>
        <w:pStyle w:val="Heading4"/>
      </w:pPr>
      <w:bookmarkStart w:id="101" w:name="_Toc227378438"/>
      <w:bookmarkStart w:id="102" w:name="_Toc383086821"/>
      <w:r>
        <w:t xml:space="preserve">Δίκτυο Ανταλλαγής Πληροφοριών </w:t>
      </w:r>
      <w:r>
        <w:rPr>
          <w:lang w:val="en-US"/>
        </w:rPr>
        <w:t>RAPEX</w:t>
      </w:r>
      <w:r>
        <w:t xml:space="preserve"> για καλλυντικά προϊόντα</w:t>
      </w:r>
      <w:bookmarkEnd w:id="101"/>
      <w:bookmarkEnd w:id="102"/>
      <w:r>
        <w:t xml:space="preserve"> </w:t>
      </w:r>
    </w:p>
    <w:p w:rsidR="000646A5" w:rsidRDefault="000646A5" w:rsidP="00F94DDB">
      <w:pPr>
        <w:spacing w:before="240"/>
        <w:ind w:right="26"/>
      </w:pPr>
      <w:r>
        <w:t xml:space="preserve">Το δίκτυο </w:t>
      </w:r>
      <w:r>
        <w:rPr>
          <w:lang w:val="en-US"/>
        </w:rPr>
        <w:t>Rapex</w:t>
      </w:r>
      <w:r>
        <w:t xml:space="preserve"> είναι σύστημα ανταλλαγής πληροφοριών μεταξύ των χωρών μελών της Ε.Ε. για τα μέτρα τα οποία θα πρέπει να λαμβάνονται σχετικά με καταναλωτικά προϊόντα, μεταξύ άλλων και τα καλλυντικά, για την πρόληψη της διάθεσης στους καταναλωτές, προϊόντων που ενέχουν σοβαρό κίνδυνο για την υγεία τους.  Κατά το 2012 λήφθηκαν 30 γνωστοποιήσεις μέσω του δικτύου Rapex οι οποίες αφορούσαν την απόσυρση 83 καλλυντικών προϊόντων στην Ευρώπη. Από αυτά, εντοπίστηκε στην Κυπριακή αγορά καλλυντικό προϊόν το οποίο αφορούσε θεραπείες ισιώματος μαλλιών το οποίο περιείχε ψηλές ποσότητες φορμαλδεΰδης και αποσύρθηκε.</w:t>
      </w:r>
    </w:p>
    <w:p w:rsidR="000646A5" w:rsidRDefault="000646A5" w:rsidP="000646A5">
      <w:r>
        <w:t>Με βάση  τα 83 καλλυντικά προϊόντα τα οποία κρίθηκαν επικίνδυνα και αποσύρθηκαν από την Ευρωπαϊκή αγορά,  διαπιστώθηκε ότι οι κυριότεροι λόγοι οι οποίοι οδηγούν σε απόσυρση των καλλυντικών είναι  οι ακόλουθοι:</w:t>
      </w:r>
    </w:p>
    <w:p w:rsidR="000646A5" w:rsidRDefault="000646A5" w:rsidP="000646A5">
      <w:pPr>
        <w:pStyle w:val="ListParagraph"/>
        <w:numPr>
          <w:ilvl w:val="0"/>
          <w:numId w:val="33"/>
        </w:numPr>
        <w:spacing w:after="200" w:line="276" w:lineRule="auto"/>
        <w:jc w:val="both"/>
        <w:rPr>
          <w:lang w:val="el-GR"/>
        </w:rPr>
      </w:pPr>
      <w:r>
        <w:rPr>
          <w:lang w:val="el-GR"/>
        </w:rPr>
        <w:t>Παρουσία απαγορευμένων ουσιών στα καλλυντικά προϊόντα, οι οποίες συνήθως δεν αναγράφονται στη σύνθεση των προϊόντων. Πιο συγκεκριμένα:</w:t>
      </w:r>
    </w:p>
    <w:p w:rsidR="000646A5" w:rsidRDefault="000646A5" w:rsidP="000646A5">
      <w:pPr>
        <w:pStyle w:val="ListParagraph"/>
        <w:rPr>
          <w:lang w:val="el-GR"/>
        </w:rPr>
      </w:pPr>
    </w:p>
    <w:p w:rsidR="000646A5" w:rsidRDefault="000646A5" w:rsidP="000646A5">
      <w:pPr>
        <w:pStyle w:val="ListParagraph"/>
        <w:rPr>
          <w:lang w:val="el-GR"/>
        </w:rPr>
      </w:pPr>
      <w:r>
        <w:rPr>
          <w:lang w:val="el-GR"/>
        </w:rPr>
        <w:t xml:space="preserve">(α) </w:t>
      </w:r>
      <w:r>
        <w:t>Formaldehyde</w:t>
      </w:r>
      <w:r>
        <w:rPr>
          <w:lang w:val="el-GR"/>
        </w:rPr>
        <w:t xml:space="preserve"> σε προϊόντα ισιώματος μαλλιών</w:t>
      </w:r>
    </w:p>
    <w:p w:rsidR="000646A5" w:rsidRDefault="000646A5" w:rsidP="000646A5">
      <w:pPr>
        <w:pStyle w:val="ListParagraph"/>
        <w:rPr>
          <w:lang w:val="el-GR"/>
        </w:rPr>
      </w:pPr>
      <w:r>
        <w:rPr>
          <w:lang w:val="el-GR"/>
        </w:rPr>
        <w:t xml:space="preserve">(β) </w:t>
      </w:r>
      <w:r>
        <w:t>Methyl</w:t>
      </w:r>
      <w:r>
        <w:rPr>
          <w:lang w:val="el-GR"/>
        </w:rPr>
        <w:t xml:space="preserve">  </w:t>
      </w:r>
      <w:r>
        <w:t>metacrylate</w:t>
      </w:r>
      <w:r>
        <w:rPr>
          <w:lang w:val="el-GR"/>
        </w:rPr>
        <w:t xml:space="preserve"> (</w:t>
      </w:r>
      <w:r>
        <w:t>MMA</w:t>
      </w:r>
      <w:r>
        <w:rPr>
          <w:lang w:val="el-GR"/>
        </w:rPr>
        <w:t>) σε βερνίκια νυχιών</w:t>
      </w:r>
    </w:p>
    <w:p w:rsidR="000646A5" w:rsidRDefault="000646A5" w:rsidP="000646A5">
      <w:pPr>
        <w:pStyle w:val="ListParagraph"/>
        <w:rPr>
          <w:lang w:val="el-GR"/>
        </w:rPr>
      </w:pPr>
      <w:r>
        <w:rPr>
          <w:lang w:val="el-GR"/>
        </w:rPr>
        <w:t>(γ) Υδροκινόνη σε λευκαντικές κρέμες</w:t>
      </w:r>
    </w:p>
    <w:p w:rsidR="000646A5" w:rsidRDefault="000646A5" w:rsidP="000646A5">
      <w:pPr>
        <w:pStyle w:val="ListParagraph"/>
        <w:rPr>
          <w:lang w:val="el-GR"/>
        </w:rPr>
      </w:pPr>
      <w:r>
        <w:rPr>
          <w:lang w:val="el-GR"/>
        </w:rPr>
        <w:t>(δ) Υδράργυρος σε λευκαντικές κρέμες</w:t>
      </w:r>
    </w:p>
    <w:p w:rsidR="000646A5" w:rsidRDefault="000646A5" w:rsidP="000646A5">
      <w:pPr>
        <w:pStyle w:val="ListParagraph"/>
        <w:rPr>
          <w:lang w:val="el-GR"/>
        </w:rPr>
      </w:pPr>
      <w:r>
        <w:rPr>
          <w:lang w:val="el-GR"/>
        </w:rPr>
        <w:t>(ε) Κορτικοστεροειδή σε λευκαντικές κρέμες</w:t>
      </w:r>
    </w:p>
    <w:p w:rsidR="000646A5" w:rsidRDefault="000646A5" w:rsidP="000646A5">
      <w:pPr>
        <w:pStyle w:val="ListParagraph"/>
        <w:rPr>
          <w:lang w:val="el-GR"/>
        </w:rPr>
      </w:pPr>
      <w:r>
        <w:rPr>
          <w:lang w:val="el-GR"/>
        </w:rPr>
        <w:t>(στ) Βαρέα μέταλλα (κυρίως μόλυβδο, κάδμιο, χρώμιο, αρσενικό) σε προϊόντα μακιγιάζ</w:t>
      </w:r>
    </w:p>
    <w:p w:rsidR="000646A5" w:rsidRDefault="000646A5" w:rsidP="000646A5">
      <w:pPr>
        <w:pStyle w:val="ListParagraph"/>
        <w:rPr>
          <w:lang w:val="el-GR"/>
        </w:rPr>
      </w:pPr>
      <w:r>
        <w:rPr>
          <w:lang w:val="el-GR"/>
        </w:rPr>
        <w:t>(ζ) Αυξημένη περιεκτικότητα υπεροξειδίου του υδρογόνου σε προϊόντα λεύκανσης των δοντιών</w:t>
      </w:r>
    </w:p>
    <w:p w:rsidR="000646A5" w:rsidRDefault="000646A5" w:rsidP="000646A5">
      <w:pPr>
        <w:pStyle w:val="ListParagraph"/>
        <w:ind w:left="0"/>
        <w:rPr>
          <w:lang w:val="el-GR"/>
        </w:rPr>
      </w:pPr>
    </w:p>
    <w:p w:rsidR="000646A5" w:rsidRDefault="000646A5" w:rsidP="000646A5">
      <w:pPr>
        <w:pStyle w:val="ListParagraph"/>
        <w:numPr>
          <w:ilvl w:val="0"/>
          <w:numId w:val="33"/>
        </w:numPr>
        <w:spacing w:after="200" w:line="276" w:lineRule="auto"/>
        <w:rPr>
          <w:lang w:val="el-GR"/>
        </w:rPr>
      </w:pPr>
      <w:r>
        <w:rPr>
          <w:lang w:val="el-GR"/>
        </w:rPr>
        <w:t>Υψηλό μικροβιακό φορτίο σε καλλυντικά προϊόντα.</w:t>
      </w:r>
    </w:p>
    <w:p w:rsidR="000646A5" w:rsidRDefault="000646A5" w:rsidP="000646A5">
      <w:pPr>
        <w:pStyle w:val="ListParagraph"/>
        <w:rPr>
          <w:lang w:val="el-GR"/>
        </w:rPr>
      </w:pPr>
    </w:p>
    <w:p w:rsidR="000646A5" w:rsidRDefault="000646A5" w:rsidP="000646A5">
      <w:pPr>
        <w:pStyle w:val="ListParagraph"/>
        <w:ind w:left="0"/>
        <w:jc w:val="both"/>
        <w:rPr>
          <w:lang w:val="el-GR"/>
        </w:rPr>
      </w:pPr>
      <w:bookmarkStart w:id="103" w:name="_Toc227378439"/>
      <w:r>
        <w:rPr>
          <w:lang w:val="el-GR"/>
        </w:rPr>
        <w:t xml:space="preserve">Τα πιο πάνω προβλήματα αφορούν καλλυντικά προϊόντα τα οποία προέρχονται από τρίτες  χώρες  (Αμερική, Ακτή του Ελεφαντοστού, Κίνα, Κονγκό, Μεξικό,  Πακιστάν, Ταϊλάνδη)  αλλά και αρκετά προϊόντα που προέρχονται από Ευρώπη  (Γερμανία, Ιταλία, Γαλλία).  </w:t>
      </w:r>
    </w:p>
    <w:p w:rsidR="000646A5" w:rsidRDefault="000646A5" w:rsidP="000646A5">
      <w:pPr>
        <w:pStyle w:val="ListParagraph"/>
        <w:ind w:left="0"/>
        <w:jc w:val="both"/>
        <w:rPr>
          <w:lang w:val="el-GR"/>
        </w:rPr>
      </w:pPr>
    </w:p>
    <w:p w:rsidR="000646A5" w:rsidRDefault="000646A5" w:rsidP="000646A5">
      <w:pPr>
        <w:pStyle w:val="ListParagraph"/>
        <w:ind w:left="0"/>
        <w:jc w:val="both"/>
        <w:rPr>
          <w:lang w:val="el-GR"/>
        </w:rPr>
      </w:pPr>
      <w:r>
        <w:rPr>
          <w:lang w:val="el-GR"/>
        </w:rPr>
        <w:t>Με βάση τα πιο πάνω οι Φαρμακευτικές Υπηρεσίες έχουν καταρτίσει  πρόγραμμα δειγματοληψίας  και ανάλυσης καλλυντικών προϊόντων, το οποίο  επικεντρώνεται κυρίως στην ανάλυση καλλυντικών προϊόντων ως προς τις πιο πάνω παραμέτρους.</w:t>
      </w:r>
    </w:p>
    <w:p w:rsidR="000646A5" w:rsidRDefault="000646A5" w:rsidP="00CE4845">
      <w:pPr>
        <w:pStyle w:val="Heading4"/>
      </w:pPr>
      <w:r>
        <w:t xml:space="preserve"> </w:t>
      </w:r>
      <w:bookmarkStart w:id="104" w:name="_Toc383086822"/>
      <w:r>
        <w:t>Πιστοποιητικά ελεύθερης κυκλοφορίας καλλυντικών προϊόντων</w:t>
      </w:r>
      <w:bookmarkEnd w:id="103"/>
      <w:bookmarkEnd w:id="104"/>
    </w:p>
    <w:p w:rsidR="000646A5" w:rsidRDefault="000646A5" w:rsidP="000646A5">
      <w:pPr>
        <w:pStyle w:val="BodyText"/>
        <w:rPr>
          <w:sz w:val="24"/>
        </w:rPr>
      </w:pPr>
      <w:r>
        <w:rPr>
          <w:i w:val="0"/>
          <w:iCs w:val="0"/>
          <w:sz w:val="24"/>
        </w:rPr>
        <w:t>Κατά το 2012 εκδόθηκε και θεωρήθηκε μεγάλος αριθμός πιστοποιητικών ελεύθερης κυκλοφορίας καλλυντικών προϊόντων για σκοπούς εξαγωγής καλλυντικών προϊόντων που παρασκευάζονται στην Κύπρο</w:t>
      </w:r>
      <w:r>
        <w:rPr>
          <w:sz w:val="24"/>
        </w:rPr>
        <w:t>.</w:t>
      </w:r>
    </w:p>
    <w:p w:rsidR="000646A5" w:rsidRDefault="000646A5" w:rsidP="00CE4845">
      <w:pPr>
        <w:pStyle w:val="Heading4"/>
      </w:pPr>
      <w:r>
        <w:t xml:space="preserve"> </w:t>
      </w:r>
      <w:bookmarkStart w:id="105" w:name="_Toc383086823"/>
      <w:r>
        <w:t>Γνωστοποιήσεις καλλυντικών προϊόντων</w:t>
      </w:r>
      <w:bookmarkEnd w:id="105"/>
    </w:p>
    <w:p w:rsidR="000646A5" w:rsidRDefault="000646A5" w:rsidP="000646A5">
      <w:pPr>
        <w:ind w:right="29"/>
      </w:pPr>
      <w:r>
        <w:t xml:space="preserve">Για τα καλλυντικά προϊόντα α) τα οποία εισάγονται απευθείας από τρίτες χώρες ή β) κατασκευάζονται από Κατασκευαστές Καλλυντικών Προϊόντων στην Κύπρο (νέα προϊόντα) γίνεται γνωστοποίησή  στις Φαρμακευτικές Υπηρεσίες πριν την τοποθέτηση τους στην Κυπριακή αγορά. Οι Φαρμακευτικές Υπηρεσίες για το σκοπό αυτό έχουν ετοιμάσει ειδικό έντυπο γνωστοποίησης.  </w:t>
      </w:r>
    </w:p>
    <w:p w:rsidR="000646A5" w:rsidRDefault="000646A5" w:rsidP="000646A5">
      <w:pPr>
        <w:pStyle w:val="BodyText"/>
        <w:rPr>
          <w:i w:val="0"/>
          <w:sz w:val="24"/>
        </w:rPr>
      </w:pPr>
      <w:r>
        <w:rPr>
          <w:i w:val="0"/>
          <w:iCs w:val="0"/>
          <w:sz w:val="24"/>
        </w:rPr>
        <w:t xml:space="preserve">Κατά το 2011 έχουν υποβληθεί στις </w:t>
      </w:r>
      <w:r>
        <w:rPr>
          <w:i w:val="0"/>
          <w:sz w:val="24"/>
        </w:rPr>
        <w:t xml:space="preserve">Φαρμακευτικές Υπηρεσίες 99 γνωστοποιήσεις. </w:t>
      </w:r>
    </w:p>
    <w:p w:rsidR="000646A5" w:rsidRDefault="000646A5" w:rsidP="000646A5">
      <w:pPr>
        <w:pStyle w:val="BodyText"/>
        <w:rPr>
          <w:i w:val="0"/>
          <w:sz w:val="24"/>
        </w:rPr>
      </w:pPr>
      <w:r>
        <w:rPr>
          <w:i w:val="0"/>
          <w:sz w:val="24"/>
        </w:rPr>
        <w:t xml:space="preserve">Ο λόγος της μείωσης των γνωστοποιήσεων σε σύγκριση με το 2011, είναι το γεγονός ότι τον Ιούλιο του 2013 αναμένεται να τεθεί σε εφαρμογή ο Νέος Ευρωπαϊκός Κανονισμός για τα καλλυντικά προϊόντα 1223/2009 με βάση τον οποίο οι γνωστοποιήσεις των καλλυντικών προϊόντων στην Ευρώπη θα γίνονται ηλεκτρονικά μέσω της ηλεκτρονικής πλατφόρμας </w:t>
      </w:r>
      <w:r>
        <w:rPr>
          <w:i w:val="0"/>
          <w:sz w:val="24"/>
          <w:lang w:val="en-GB"/>
        </w:rPr>
        <w:t>CPNP</w:t>
      </w:r>
      <w:r>
        <w:rPr>
          <w:i w:val="0"/>
          <w:sz w:val="24"/>
        </w:rPr>
        <w:t xml:space="preserve"> (</w:t>
      </w:r>
      <w:r>
        <w:rPr>
          <w:i w:val="0"/>
          <w:sz w:val="24"/>
          <w:lang w:val="en-GB"/>
        </w:rPr>
        <w:t>Cosmetic</w:t>
      </w:r>
      <w:r w:rsidRPr="000646A5">
        <w:rPr>
          <w:i w:val="0"/>
          <w:sz w:val="24"/>
        </w:rPr>
        <w:t xml:space="preserve"> </w:t>
      </w:r>
      <w:r>
        <w:rPr>
          <w:i w:val="0"/>
          <w:sz w:val="24"/>
          <w:lang w:val="en-GB"/>
        </w:rPr>
        <w:t>Products</w:t>
      </w:r>
      <w:r w:rsidRPr="000646A5">
        <w:rPr>
          <w:i w:val="0"/>
          <w:sz w:val="24"/>
        </w:rPr>
        <w:t xml:space="preserve"> </w:t>
      </w:r>
      <w:r>
        <w:rPr>
          <w:i w:val="0"/>
          <w:sz w:val="24"/>
          <w:lang w:val="en-GB"/>
        </w:rPr>
        <w:t>Notification</w:t>
      </w:r>
      <w:r w:rsidRPr="000646A5">
        <w:rPr>
          <w:i w:val="0"/>
          <w:sz w:val="24"/>
        </w:rPr>
        <w:t xml:space="preserve"> </w:t>
      </w:r>
      <w:r>
        <w:rPr>
          <w:i w:val="0"/>
          <w:sz w:val="24"/>
          <w:lang w:val="en-GB"/>
        </w:rPr>
        <w:t>Portal</w:t>
      </w:r>
      <w:r>
        <w:rPr>
          <w:i w:val="0"/>
          <w:sz w:val="24"/>
        </w:rPr>
        <w:t xml:space="preserve">) </w:t>
      </w:r>
      <w:r>
        <w:rPr>
          <w:rStyle w:val="PageNumber"/>
          <w:i w:val="0"/>
          <w:iCs w:val="0"/>
          <w:sz w:val="24"/>
        </w:rPr>
        <w:t>που έχει δημιουργηθεί για το σκοπό αυτό. Για τα ήδη υφιστάμενα προϊόντα στην αγορά, η πλατφόρμα αυτή είναι προσβάσιμη από τον Ιανουάριο του 2012, έτσι πολλές γνωστοποιήσεις έχουν ήδη γίνει μέσω αυτής της πλατφόρμας.</w:t>
      </w:r>
    </w:p>
    <w:p w:rsidR="000646A5" w:rsidRDefault="000646A5" w:rsidP="00CE4845">
      <w:pPr>
        <w:pStyle w:val="Heading4"/>
      </w:pPr>
      <w:bookmarkStart w:id="106" w:name="_Toc227378440"/>
      <w:r>
        <w:t xml:space="preserve"> </w:t>
      </w:r>
      <w:bookmarkStart w:id="107" w:name="_Toc383086824"/>
      <w:r>
        <w:t>Έλεγχος καλλυντικών προϊόντων στην αγορά</w:t>
      </w:r>
      <w:bookmarkEnd w:id="106"/>
      <w:bookmarkEnd w:id="107"/>
      <w:r>
        <w:t xml:space="preserve"> </w:t>
      </w:r>
    </w:p>
    <w:p w:rsidR="000646A5" w:rsidRDefault="000646A5" w:rsidP="000646A5">
      <w:pPr>
        <w:pStyle w:val="BodyText"/>
        <w:rPr>
          <w:i w:val="0"/>
          <w:iCs w:val="0"/>
          <w:sz w:val="24"/>
        </w:rPr>
      </w:pPr>
      <w:r>
        <w:rPr>
          <w:i w:val="0"/>
          <w:iCs w:val="0"/>
          <w:sz w:val="24"/>
        </w:rPr>
        <w:t xml:space="preserve">Ο Τομέας Καλλυντικών διενεργεί δειγματοληπτικούς ελέγχους καλλυντικών προϊόντων, για να διαπιστωθεί εάν τα καλλυντικά προϊόντα που κυκλοφορούν στην αγορά, είναι σύμφωνα με τις πρόνοιες του Νόμου. Όσα προϊόντα δεν πληρούν τις σχετικές πρόνοιες, αποσύρονται από την αγορά μέχρι να ληφθούν τα απαραίτητα διορθωτικά μέτρα. </w:t>
      </w:r>
    </w:p>
    <w:p w:rsidR="000646A5" w:rsidRDefault="000646A5" w:rsidP="000646A5">
      <w:pPr>
        <w:pStyle w:val="BodyText"/>
        <w:rPr>
          <w:i w:val="0"/>
          <w:iCs w:val="0"/>
          <w:sz w:val="24"/>
        </w:rPr>
      </w:pPr>
      <w:r>
        <w:rPr>
          <w:i w:val="0"/>
          <w:iCs w:val="0"/>
          <w:sz w:val="24"/>
        </w:rPr>
        <w:t xml:space="preserve">Κατά το 2012, επιθεωρήθηκαν 36 υποστατικά χονδρικής και λιανικής πώλησης καλλυντικών προϊόντων και ελέχθησαν 230 καλλυντικά προϊόντα για τη συμφωνία τους με τις απαιτήσεις της Νομοθεσίας αναφορικά με τη σύνθεση και την σήμανση. </w:t>
      </w:r>
    </w:p>
    <w:p w:rsidR="000646A5" w:rsidRDefault="000646A5" w:rsidP="00CE4845">
      <w:pPr>
        <w:pStyle w:val="Heading4"/>
      </w:pPr>
      <w:bookmarkStart w:id="108" w:name="_Toc227378441"/>
      <w:bookmarkStart w:id="109" w:name="_Toc383086825"/>
      <w:r>
        <w:t>Δειγματοληψία και ανάλυση καλλυντικών προϊόντων</w:t>
      </w:r>
      <w:bookmarkEnd w:id="108"/>
      <w:bookmarkEnd w:id="109"/>
      <w:r>
        <w:t xml:space="preserve">  </w:t>
      </w:r>
    </w:p>
    <w:p w:rsidR="000646A5" w:rsidRDefault="000646A5" w:rsidP="000646A5">
      <w:pPr>
        <w:pStyle w:val="BodyText"/>
        <w:rPr>
          <w:i w:val="0"/>
          <w:iCs w:val="0"/>
          <w:sz w:val="24"/>
        </w:rPr>
      </w:pPr>
      <w:r>
        <w:rPr>
          <w:i w:val="0"/>
          <w:iCs w:val="0"/>
          <w:sz w:val="24"/>
        </w:rPr>
        <w:t>Οι Φαρμακευτικές Υπηρεσίες σε συνεργασία με το Γενικό Χημείο του Κράτους έχουν καταρτίσει πρόγραμμα δειγματοληψίας και ανάλυσης καλλυντικών προϊόντων. Κατά το 2012 διενεργήθηκαν 10 δειγματοληψίες από τις Φαρμακευτικές Υπηρεσίες και αναλύθηκαν 51 καλλυντικά προϊόντα.</w:t>
      </w:r>
    </w:p>
    <w:p w:rsidR="000646A5" w:rsidRDefault="000646A5" w:rsidP="00CE4845">
      <w:pPr>
        <w:pStyle w:val="Heading4"/>
      </w:pPr>
      <w:bookmarkStart w:id="110" w:name="_Toc227378442"/>
      <w:r>
        <w:t xml:space="preserve"> </w:t>
      </w:r>
      <w:bookmarkStart w:id="111" w:name="_Toc383086826"/>
      <w:r>
        <w:t>Ενημέρωση κατασκευαστών, εισαγωγέων και καταναλωτών</w:t>
      </w:r>
      <w:bookmarkEnd w:id="110"/>
      <w:bookmarkEnd w:id="111"/>
      <w:r>
        <w:t xml:space="preserve"> </w:t>
      </w:r>
    </w:p>
    <w:p w:rsidR="000646A5" w:rsidRDefault="000646A5" w:rsidP="000646A5">
      <w:pPr>
        <w:pStyle w:val="BodyText"/>
        <w:rPr>
          <w:i w:val="0"/>
          <w:iCs w:val="0"/>
          <w:sz w:val="24"/>
        </w:rPr>
      </w:pPr>
      <w:r>
        <w:rPr>
          <w:i w:val="0"/>
          <w:iCs w:val="0"/>
          <w:sz w:val="24"/>
        </w:rPr>
        <w:t xml:space="preserve">Ο Τομέας Καλλυντικών ήταν και είναι στη διάθεση τόσο των κατασκευαστών και εισαγωγέων καλλυντικών προϊόντων, για να βοηθήσει στην κατανόηση της Νομοθεσίας και την προσαρμογή τους σε αυτή, όσο και των απλών πολιτών (καταναλωτών), για οποιεσδήποτε πληροφορίες και τυχόν απορίες αναφορικά με τα καλλυντικά προϊόντα. </w:t>
      </w:r>
    </w:p>
    <w:p w:rsidR="000646A5" w:rsidRDefault="000646A5" w:rsidP="000646A5">
      <w:pPr>
        <w:pStyle w:val="BodyText"/>
        <w:rPr>
          <w:i w:val="0"/>
          <w:iCs w:val="0"/>
          <w:sz w:val="24"/>
        </w:rPr>
      </w:pPr>
      <w:r>
        <w:rPr>
          <w:i w:val="0"/>
          <w:iCs w:val="0"/>
          <w:sz w:val="24"/>
        </w:rPr>
        <w:t>Πρωταρχικός σκοπός του Τομέα ήταν και είναι η διασφάλιση της ποιότητας και της ασφάλειας των καλλυντικών προϊόντων και κατά συνέπεια η προστασία της δημόσιας υγείας.</w:t>
      </w:r>
    </w:p>
    <w:p w:rsidR="00F94DDB" w:rsidRPr="00F94DDB" w:rsidRDefault="000646A5" w:rsidP="00F94DDB">
      <w:pPr>
        <w:pStyle w:val="BodyText"/>
        <w:rPr>
          <w:i w:val="0"/>
          <w:iCs w:val="0"/>
          <w:sz w:val="24"/>
        </w:rPr>
      </w:pPr>
      <w:r>
        <w:rPr>
          <w:i w:val="0"/>
          <w:iCs w:val="0"/>
          <w:sz w:val="24"/>
        </w:rPr>
        <w:lastRenderedPageBreak/>
        <w:t>Κατά το 2012 διοργανώθηκαν δύο ημερίδες μια σε συνεργασία με το ΚΕΒΕ και μια σε συνεργασία με την Ένωση Διπλωματούχων Αισθητικών Κύπρου, με σκοπό την ενημέρωση από τις Φαρμακευτικές Υπηρεσίες των Παρασκευαστών, Εισαγωγέων αλλά και των αισθητικών για το νέο Ευρωπαϊκό Κανονισμό 1223/2009, ο οποίος αναμένεται να τεθεί σ</w:t>
      </w:r>
      <w:r w:rsidR="00F94DDB">
        <w:rPr>
          <w:i w:val="0"/>
          <w:iCs w:val="0"/>
          <w:sz w:val="24"/>
        </w:rPr>
        <w:t>ε εφαρμογή τον Ιούλιο του 2013.</w:t>
      </w:r>
    </w:p>
    <w:p w:rsidR="000646A5" w:rsidRDefault="000646A5" w:rsidP="00CE4845">
      <w:pPr>
        <w:pStyle w:val="Heading4"/>
      </w:pPr>
      <w:bookmarkStart w:id="112" w:name="_Toc227378443"/>
      <w:bookmarkStart w:id="113" w:name="_Toc383086827"/>
      <w:r>
        <w:t>Άλλες Δραστηριότητες του Τομέα</w:t>
      </w:r>
      <w:bookmarkEnd w:id="112"/>
      <w:bookmarkEnd w:id="113"/>
    </w:p>
    <w:p w:rsidR="000646A5" w:rsidRDefault="000646A5" w:rsidP="000646A5">
      <w:pPr>
        <w:pStyle w:val="BodyText"/>
        <w:rPr>
          <w:i w:val="0"/>
          <w:iCs w:val="0"/>
          <w:sz w:val="24"/>
        </w:rPr>
      </w:pPr>
      <w:r>
        <w:rPr>
          <w:i w:val="0"/>
          <w:iCs w:val="0"/>
          <w:sz w:val="24"/>
        </w:rPr>
        <w:t xml:space="preserve">Ο Τομέας Καλλυντικών συμμετείχε ενεργά σε συναντήσεις των ομάδων εργασίας: Standing Committee on Cosmetics, Working Group on Cosmetics, του PEMSAC (Platform of European Market Surveillance Authorities for Cosmetics) και του </w:t>
      </w:r>
      <w:r>
        <w:rPr>
          <w:i w:val="0"/>
          <w:iCs w:val="0"/>
          <w:sz w:val="24"/>
          <w:lang w:val="en-GB"/>
        </w:rPr>
        <w:t>Sub</w:t>
      </w:r>
      <w:r>
        <w:rPr>
          <w:i w:val="0"/>
          <w:iCs w:val="0"/>
          <w:sz w:val="24"/>
        </w:rPr>
        <w:t xml:space="preserve">- </w:t>
      </w:r>
      <w:r>
        <w:rPr>
          <w:i w:val="0"/>
          <w:iCs w:val="0"/>
          <w:sz w:val="24"/>
          <w:lang w:val="en-GB"/>
        </w:rPr>
        <w:t>Group</w:t>
      </w:r>
      <w:r w:rsidRPr="000646A5">
        <w:rPr>
          <w:i w:val="0"/>
          <w:iCs w:val="0"/>
          <w:sz w:val="24"/>
        </w:rPr>
        <w:t xml:space="preserve"> </w:t>
      </w:r>
      <w:r>
        <w:rPr>
          <w:i w:val="0"/>
          <w:iCs w:val="0"/>
          <w:sz w:val="24"/>
          <w:lang w:val="en-GB"/>
        </w:rPr>
        <w:t>on</w:t>
      </w:r>
      <w:r w:rsidRPr="000646A5">
        <w:rPr>
          <w:i w:val="0"/>
          <w:iCs w:val="0"/>
          <w:sz w:val="24"/>
        </w:rPr>
        <w:t xml:space="preserve"> </w:t>
      </w:r>
      <w:r>
        <w:rPr>
          <w:i w:val="0"/>
          <w:iCs w:val="0"/>
          <w:sz w:val="24"/>
          <w:lang w:val="en-GB"/>
        </w:rPr>
        <w:t>Borderline</w:t>
      </w:r>
      <w:r w:rsidRPr="000646A5">
        <w:rPr>
          <w:i w:val="0"/>
          <w:iCs w:val="0"/>
          <w:sz w:val="24"/>
        </w:rPr>
        <w:t xml:space="preserve"> </w:t>
      </w:r>
      <w:r>
        <w:rPr>
          <w:i w:val="0"/>
          <w:iCs w:val="0"/>
          <w:sz w:val="24"/>
          <w:lang w:val="en-GB"/>
        </w:rPr>
        <w:t>Products</w:t>
      </w:r>
      <w:r>
        <w:rPr>
          <w:i w:val="0"/>
          <w:iCs w:val="0"/>
          <w:sz w:val="24"/>
        </w:rPr>
        <w:t xml:space="preserve"> οι οποίες διεξάγονται στις Βρυξέλλες και  στις οποίες συμμετέχουν εκπρόσωποι από όλα τα Κράτη Μέλη της Ευρωπαϊκής Ένωσης.</w:t>
      </w:r>
    </w:p>
    <w:p w:rsidR="0051507E" w:rsidRDefault="000646A5" w:rsidP="00F30C89">
      <w:pPr>
        <w:pStyle w:val="BodyText"/>
        <w:rPr>
          <w:i w:val="0"/>
          <w:iCs w:val="0"/>
          <w:sz w:val="24"/>
        </w:rPr>
      </w:pPr>
      <w:r>
        <w:rPr>
          <w:i w:val="0"/>
          <w:iCs w:val="0"/>
          <w:sz w:val="24"/>
        </w:rPr>
        <w:t>Ο Τομέας συμμετείχε επίσης, μαζί με άλλες χώρες μέλη της Ε.Ε, σε κοινές καμπάνιες  ενημέρωσης και ευα</w:t>
      </w:r>
      <w:r w:rsidR="00F30C89">
        <w:rPr>
          <w:i w:val="0"/>
          <w:iCs w:val="0"/>
          <w:sz w:val="24"/>
        </w:rPr>
        <w:t xml:space="preserve">ισθητοποίησης των καταναλωτών. </w:t>
      </w:r>
    </w:p>
    <w:p w:rsidR="00F30C89" w:rsidRPr="00F30C89" w:rsidRDefault="00F30C89" w:rsidP="00F30C89">
      <w:pPr>
        <w:pStyle w:val="BodyText"/>
        <w:rPr>
          <w:i w:val="0"/>
          <w:iCs w:val="0"/>
          <w:sz w:val="24"/>
        </w:rPr>
      </w:pPr>
    </w:p>
    <w:p w:rsidR="00F30C89" w:rsidRPr="00F30C89" w:rsidRDefault="00B73966" w:rsidP="003C02BD">
      <w:pPr>
        <w:pStyle w:val="Heading2"/>
      </w:pPr>
      <w:bookmarkStart w:id="114" w:name="_Toc383086828"/>
      <w:r>
        <w:t>Νοσοκομειακή Φαρμακευτική / Κρατικά Φαρμακεία</w:t>
      </w:r>
      <w:bookmarkEnd w:id="114"/>
    </w:p>
    <w:p w:rsidR="003C02BD" w:rsidRPr="003C02BD" w:rsidRDefault="003C02BD" w:rsidP="003C02BD">
      <w:pPr>
        <w:pStyle w:val="ListParagraph"/>
        <w:keepNext/>
        <w:pageBreakBefore/>
        <w:numPr>
          <w:ilvl w:val="1"/>
          <w:numId w:val="44"/>
        </w:numPr>
        <w:spacing w:before="240" w:after="240"/>
        <w:contextualSpacing w:val="0"/>
        <w:jc w:val="center"/>
        <w:outlineLvl w:val="0"/>
        <w:rPr>
          <w:rFonts w:ascii="Arial" w:hAnsi="Arial" w:cs="Arial"/>
          <w:b/>
          <w:bCs/>
          <w:vanish/>
          <w:color w:val="FF0000"/>
          <w:kern w:val="32"/>
          <w:sz w:val="32"/>
          <w:szCs w:val="32"/>
          <w:lang w:val="el-GR" w:eastAsia="el-GR"/>
        </w:rPr>
      </w:pPr>
      <w:bookmarkStart w:id="115" w:name="_Toc383085496"/>
      <w:bookmarkStart w:id="116" w:name="_Toc383086266"/>
      <w:bookmarkStart w:id="117" w:name="_Toc383086829"/>
      <w:bookmarkEnd w:id="115"/>
      <w:bookmarkEnd w:id="116"/>
      <w:bookmarkEnd w:id="117"/>
    </w:p>
    <w:p w:rsidR="00A358F4" w:rsidRDefault="00B73966" w:rsidP="003C02BD">
      <w:pPr>
        <w:pStyle w:val="Heading3"/>
      </w:pPr>
      <w:bookmarkStart w:id="118" w:name="_Toc383086830"/>
      <w:r>
        <w:t>Κρατικά Φαρμακεία</w:t>
      </w:r>
      <w:bookmarkEnd w:id="118"/>
    </w:p>
    <w:p w:rsidR="00A358F4" w:rsidRDefault="00B73966">
      <w:r>
        <w:t>Στο κρατικό τομέα, κάτω από την διεύθυνση των Φαρμακευτικών Υπηρεσιών, λειτουργούν 4</w:t>
      </w:r>
      <w:r w:rsidR="00DC200D">
        <w:t>5</w:t>
      </w:r>
      <w:r>
        <w:t xml:space="preserve"> κρατικά φαρμακεία 11 από τα οποία αποτελούν νοσοκομειακά φαρμακεία και στεγάζονται σε Νοσοκομεία της Λευκωσίας (3), Λεμεσού (2), Λάρνακας (2), Αμμοχώστου (1) και Πάφου (1)</w:t>
      </w:r>
      <w:r w:rsidR="00DC200D">
        <w:t>. Λειτουργούν επίσης</w:t>
      </w:r>
      <w:r>
        <w:t xml:space="preserve"> 1</w:t>
      </w:r>
      <w:r w:rsidR="00F52127">
        <w:t xml:space="preserve"> </w:t>
      </w:r>
      <w:r w:rsidR="00DC200D">
        <w:t>φαρμακείο</w:t>
      </w:r>
      <w:r>
        <w:t xml:space="preserve"> στο Αγροτικό Νοσοκομείο Κυπερούντας</w:t>
      </w:r>
      <w:r w:rsidR="00DC200D">
        <w:t>,</w:t>
      </w:r>
      <w:r>
        <w:t xml:space="preserve"> 1 στο Αγροτικό</w:t>
      </w:r>
      <w:r w:rsidR="008C5A32">
        <w:t xml:space="preserve"> Νοσοκομείο της Π</w:t>
      </w:r>
      <w:r w:rsidR="00DC200D">
        <w:t>όλης Χρυσοχούς και</w:t>
      </w:r>
      <w:r>
        <w:t xml:space="preserve"> 3</w:t>
      </w:r>
      <w:r w:rsidR="00F52127">
        <w:t>4</w:t>
      </w:r>
      <w:r w:rsidR="00DC200D">
        <w:t xml:space="preserve"> φαρμακεία</w:t>
      </w:r>
      <w:r>
        <w:t xml:space="preserve"> σε Αστικά και Αγροτικά Υγειονομικά Κέντρα.</w:t>
      </w:r>
    </w:p>
    <w:p w:rsidR="00A358F4" w:rsidRDefault="00CD2529">
      <w:r>
        <w:t>Το 2012 τα</w:t>
      </w:r>
      <w:r w:rsidR="00B73966">
        <w:t xml:space="preserve"> κρατικά φαρμακεία</w:t>
      </w:r>
      <w:r>
        <w:t xml:space="preserve"> ήταν στελεχωμένα</w:t>
      </w:r>
      <w:r w:rsidR="00B73966">
        <w:t xml:space="preserve"> με 1</w:t>
      </w:r>
      <w:r w:rsidRPr="00CD2529">
        <w:t>31</w:t>
      </w:r>
      <w:r w:rsidR="00B73966">
        <w:t xml:space="preserve"> φαρμακοποιο</w:t>
      </w:r>
      <w:r>
        <w:t xml:space="preserve">ύς, </w:t>
      </w:r>
      <w:r w:rsidRPr="00CD2529">
        <w:t>55</w:t>
      </w:r>
      <w:r w:rsidR="00DC200D">
        <w:t xml:space="preserve"> στην επαρχία Λευκωσ</w:t>
      </w:r>
      <w:r w:rsidR="003B287A">
        <w:t>ίας, 32 στην επαρχία Λεμεσού, 19</w:t>
      </w:r>
      <w:r w:rsidR="00B73966">
        <w:t xml:space="preserve"> στην επαρχία Λάρνακας, </w:t>
      </w:r>
      <w:r w:rsidR="003B287A">
        <w:t>8 στην επαρχία Αμμοχώστου και 17</w:t>
      </w:r>
      <w:r w:rsidR="00B73966">
        <w:t xml:space="preserve"> στην επαρχία Πάφου.</w:t>
      </w:r>
    </w:p>
    <w:p w:rsidR="00A358F4" w:rsidRPr="00F369CD" w:rsidRDefault="00F369CD" w:rsidP="00CE4845">
      <w:pPr>
        <w:pStyle w:val="Heading4"/>
      </w:pPr>
      <w:bookmarkStart w:id="119" w:name="_Toc383086831"/>
      <w:r>
        <w:t>Αναβάθμιση</w:t>
      </w:r>
      <w:r w:rsidR="00B73966" w:rsidRPr="00F369CD">
        <w:t xml:space="preserve"> κρατικών φαρμακείων</w:t>
      </w:r>
      <w:bookmarkEnd w:id="119"/>
      <w:r w:rsidR="00B73966" w:rsidRPr="00F369CD">
        <w:t xml:space="preserve"> </w:t>
      </w:r>
    </w:p>
    <w:p w:rsidR="00484E37" w:rsidRDefault="00B73966" w:rsidP="00484E37">
      <w:r w:rsidRPr="00F369CD">
        <w:t>Κατά τη διάρκεια του 20</w:t>
      </w:r>
      <w:r w:rsidR="009E0F06">
        <w:t>1</w:t>
      </w:r>
      <w:r w:rsidR="009E0F06" w:rsidRPr="009E0F06">
        <w:t>2</w:t>
      </w:r>
      <w:r w:rsidR="0006478A" w:rsidRPr="00F369CD">
        <w:t xml:space="preserve"> </w:t>
      </w:r>
      <w:r w:rsidR="00F369CD">
        <w:t xml:space="preserve">συνεχίστηκε η </w:t>
      </w:r>
      <w:r w:rsidR="007C3258" w:rsidRPr="00F369CD">
        <w:t>αναβάθμιση τ</w:t>
      </w:r>
      <w:r w:rsidR="00F369CD">
        <w:t>ων κρατικών φαρμακείων</w:t>
      </w:r>
      <w:r w:rsidR="00484E37">
        <w:t xml:space="preserve"> με την αγορά και τοποθέτηση ηλεκτρονικών υπολογιστών, τηλεομοιοτυπικών συσκευών και άλλου εξοπλισμού με σκοπό τη διευκόλυνση του έργου των λειτουργών, τον εκσυγχρονισμό των κρατικών φαρμακείων και την απρόσκοπτη λειτουργία τους.  </w:t>
      </w:r>
    </w:p>
    <w:p w:rsidR="00CE4845" w:rsidRPr="00D706E2" w:rsidRDefault="00881E2B" w:rsidP="00C80F60">
      <w:r>
        <w:t>Επίσης</w:t>
      </w:r>
      <w:r w:rsidR="007827A9">
        <w:t>,</w:t>
      </w:r>
      <w:r>
        <w:t xml:space="preserve"> κατά </w:t>
      </w:r>
      <w:r w:rsidR="00083D52">
        <w:t>τη διάρκεια του 20</w:t>
      </w:r>
      <w:r w:rsidR="003B287A">
        <w:t>12</w:t>
      </w:r>
      <w:r w:rsidR="00083D52">
        <w:t xml:space="preserve"> εφαρμόστηκε </w:t>
      </w:r>
      <w:r w:rsidR="002C18AB">
        <w:t>σε ά</w:t>
      </w:r>
      <w:r w:rsidR="00C80F60">
        <w:t>λλα δώδεκα (12</w:t>
      </w:r>
      <w:r w:rsidR="002C18AB" w:rsidRPr="002C18AB">
        <w:t xml:space="preserve">) </w:t>
      </w:r>
      <w:r w:rsidR="002C18AB">
        <w:t xml:space="preserve">κρατικά </w:t>
      </w:r>
      <w:r w:rsidR="00083D52">
        <w:t xml:space="preserve">φαρμακεία </w:t>
      </w:r>
      <w:r w:rsidR="00083D52" w:rsidRPr="00735E4E">
        <w:t xml:space="preserve">το Νέο Σύστημα Μηχανογράφησης </w:t>
      </w:r>
      <w:r w:rsidR="00083D52">
        <w:t>(</w:t>
      </w:r>
      <w:r w:rsidR="00083D52">
        <w:rPr>
          <w:lang w:val="en-US"/>
        </w:rPr>
        <w:t>SAP</w:t>
      </w:r>
      <w:r w:rsidR="00083D52" w:rsidRPr="00735E4E">
        <w:t xml:space="preserve">) </w:t>
      </w:r>
      <w:r w:rsidR="00083D52">
        <w:t xml:space="preserve">που καλύπτει την </w:t>
      </w:r>
      <w:r w:rsidR="00083D52" w:rsidRPr="00F369CD">
        <w:t>αποθήκευση και έκδοση φαρμάκων</w:t>
      </w:r>
      <w:r w:rsidR="00083D52">
        <w:t xml:space="preserve"> (</w:t>
      </w:r>
      <w:r w:rsidR="00083D52" w:rsidRPr="00CC64B2">
        <w:rPr>
          <w:rFonts w:cs="Arial"/>
        </w:rPr>
        <w:t>ετοιμασία/</w:t>
      </w:r>
      <w:r w:rsidR="008C5A32" w:rsidRPr="00CC64B2">
        <w:rPr>
          <w:rFonts w:cs="Arial"/>
        </w:rPr>
        <w:t>αποστολή</w:t>
      </w:r>
      <w:r w:rsidR="00083D52" w:rsidRPr="00CC64B2">
        <w:rPr>
          <w:rFonts w:cs="Arial"/>
        </w:rPr>
        <w:t xml:space="preserve"> των παραγγελιών και έκδοση/παρακολούθηση των αποθεμάτων</w:t>
      </w:r>
      <w:r w:rsidR="00083D52">
        <w:rPr>
          <w:rFonts w:cs="Arial"/>
        </w:rPr>
        <w:t xml:space="preserve">) </w:t>
      </w:r>
      <w:r w:rsidR="00083D52">
        <w:t xml:space="preserve">καθώς και το Σύστημα </w:t>
      </w:r>
      <w:r w:rsidR="00083D52">
        <w:rPr>
          <w:lang w:val="en-GB"/>
        </w:rPr>
        <w:t>PPIS</w:t>
      </w:r>
      <w:r w:rsidR="00C80F60">
        <w:t xml:space="preserve"> εφαρμόστηκε σε δεκαέξι (16</w:t>
      </w:r>
      <w:r w:rsidR="00F05CAA">
        <w:t>) κρατικά φαρμακεία</w:t>
      </w:r>
      <w:r w:rsidR="00083D52">
        <w:t xml:space="preserve"> για την εκτέλεση των συνταγών. </w:t>
      </w:r>
    </w:p>
    <w:p w:rsidR="00CE4845" w:rsidRDefault="00484E37" w:rsidP="00C80F60">
      <w:pPr>
        <w:pStyle w:val="Heading4"/>
      </w:pPr>
      <w:bookmarkStart w:id="120" w:name="_Toc383086832"/>
      <w:r>
        <w:t>Καταχώρηση εργασίας κρατικών φαρμακείων</w:t>
      </w:r>
      <w:bookmarkEnd w:id="120"/>
      <w:r>
        <w:t xml:space="preserve"> </w:t>
      </w:r>
      <w:r w:rsidRPr="00F369CD">
        <w:t xml:space="preserve"> </w:t>
      </w:r>
    </w:p>
    <w:p w:rsidR="00CE4845" w:rsidRPr="007C3258" w:rsidRDefault="00CE4845" w:rsidP="00CE4845">
      <w:pPr>
        <w:spacing w:before="240"/>
      </w:pPr>
      <w:r w:rsidRPr="007C3258">
        <w:t xml:space="preserve">Έγινε ενημέρωση του σχετικού αρχείου για τις καταστάσεις και τα προγράμματα εργασίας των κρατικών φαρμακείων. </w:t>
      </w:r>
    </w:p>
    <w:p w:rsidR="00CE4845" w:rsidRPr="00F369CD" w:rsidRDefault="00CE4845" w:rsidP="00CE4845">
      <w:pPr>
        <w:spacing w:after="240"/>
      </w:pPr>
      <w:r w:rsidRPr="007C3258">
        <w:t xml:space="preserve">Κατά τη διάρκεια του </w:t>
      </w:r>
      <w:r>
        <w:t xml:space="preserve">2012 </w:t>
      </w:r>
      <w:r w:rsidRPr="007C3258">
        <w:t>εκτελέστηκαν 1.</w:t>
      </w:r>
      <w:r>
        <w:t>604.160</w:t>
      </w:r>
      <w:r w:rsidRPr="007C3258">
        <w:t xml:space="preserve"> συνταγές</w:t>
      </w:r>
      <w:r>
        <w:t xml:space="preserve"> σε σύγκριση με </w:t>
      </w:r>
      <w:r w:rsidRPr="007C3258">
        <w:t>1.</w:t>
      </w:r>
      <w:r>
        <w:t>563.612 το 2011 και 1.494.542 το 2010.</w:t>
      </w:r>
    </w:p>
    <w:p w:rsidR="00A87079" w:rsidRDefault="00B73966" w:rsidP="00FD1B10">
      <w:pPr>
        <w:spacing w:before="120"/>
        <w:rPr>
          <w:b/>
        </w:rPr>
      </w:pPr>
      <w:r w:rsidRPr="00496F62">
        <w:rPr>
          <w:b/>
        </w:rPr>
        <w:lastRenderedPageBreak/>
        <w:t>Διάγραμμ</w:t>
      </w:r>
      <w:r w:rsidR="00CE4845">
        <w:rPr>
          <w:b/>
        </w:rPr>
        <w:t>α 1.3.1.2</w:t>
      </w:r>
      <w:r w:rsidRPr="00496F62">
        <w:rPr>
          <w:b/>
        </w:rPr>
        <w:t>.</w:t>
      </w:r>
      <w:r w:rsidR="00496F62" w:rsidRPr="00496F62">
        <w:rPr>
          <w:b/>
        </w:rPr>
        <w:t>α</w:t>
      </w:r>
      <w:r w:rsidRPr="00496F62">
        <w:rPr>
          <w:b/>
        </w:rPr>
        <w:t xml:space="preserve"> Σχηματική Π</w:t>
      </w:r>
      <w:r w:rsidR="00B95480">
        <w:rPr>
          <w:b/>
        </w:rPr>
        <w:t>αράσταση Συνταγογραφίας Ετών 2010</w:t>
      </w:r>
      <w:r w:rsidRPr="00496F62">
        <w:rPr>
          <w:b/>
        </w:rPr>
        <w:t xml:space="preserve"> – 20</w:t>
      </w:r>
      <w:r w:rsidR="0002275E">
        <w:rPr>
          <w:b/>
        </w:rPr>
        <w:t>11</w:t>
      </w:r>
      <w:r w:rsidR="00B95480">
        <w:rPr>
          <w:b/>
        </w:rPr>
        <w:t xml:space="preserve"> </w:t>
      </w:r>
      <w:r w:rsidR="00B95480" w:rsidRPr="00496F62">
        <w:rPr>
          <w:b/>
        </w:rPr>
        <w:t>– 20</w:t>
      </w:r>
      <w:r w:rsidR="00B95480">
        <w:rPr>
          <w:b/>
        </w:rPr>
        <w:t>12</w:t>
      </w:r>
    </w:p>
    <w:p w:rsidR="00A87079" w:rsidRDefault="00A87079" w:rsidP="00FD1B10">
      <w:pPr>
        <w:spacing w:before="120"/>
        <w:rPr>
          <w:b/>
        </w:rPr>
      </w:pPr>
      <w:r>
        <w:rPr>
          <w:noProof/>
          <w:lang w:val="en-US" w:eastAsia="en-US"/>
        </w:rPr>
        <w:drawing>
          <wp:inline distT="0" distB="0" distL="0" distR="0">
            <wp:extent cx="5719482" cy="2940423"/>
            <wp:effectExtent l="0" t="0" r="1460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477A" w:rsidRDefault="00B73966" w:rsidP="003C02BD">
      <w:pPr>
        <w:pStyle w:val="Heading3"/>
      </w:pPr>
      <w:bookmarkStart w:id="121" w:name="_Toc383086833"/>
      <w:r>
        <w:t>Άσηπτη Παρασκευή Διαλυμάτων Ολικής Παρεντερικής Διατροφής</w:t>
      </w:r>
      <w:r w:rsidR="000F2172">
        <w:t xml:space="preserve"> και Ανασύσταση Κυτταροστατικών</w:t>
      </w:r>
      <w:r>
        <w:t xml:space="preserve"> Φαρμάκων</w:t>
      </w:r>
      <w:bookmarkEnd w:id="121"/>
    </w:p>
    <w:p w:rsidR="00A358F4" w:rsidRDefault="006B477A" w:rsidP="002008D1">
      <w:pPr>
        <w:pStyle w:val="Heading4"/>
        <w:numPr>
          <w:ilvl w:val="0"/>
          <w:numId w:val="0"/>
        </w:numPr>
        <w:ind w:left="680" w:hanging="680"/>
      </w:pPr>
      <w:bookmarkStart w:id="122" w:name="_Toc383086834"/>
      <w:r>
        <w:t>1.3.2.1</w:t>
      </w:r>
      <w:r w:rsidR="00B73966">
        <w:t xml:space="preserve">   </w:t>
      </w:r>
      <w:r w:rsidR="00241894">
        <w:t>Μονάδα παρεντερικής διατροφής Λευκωσίας</w:t>
      </w:r>
      <w:bookmarkEnd w:id="122"/>
    </w:p>
    <w:p w:rsidR="00A87079" w:rsidRPr="00A87079" w:rsidRDefault="00A87079" w:rsidP="00A87079">
      <w:pPr>
        <w:spacing w:before="160" w:after="160" w:line="276" w:lineRule="auto"/>
        <w:ind w:right="26"/>
        <w:rPr>
          <w:rFonts w:ascii="Arial" w:hAnsi="Arial" w:cs="Arial"/>
        </w:rPr>
      </w:pPr>
      <w:r>
        <w:rPr>
          <w:rFonts w:ascii="Arial" w:hAnsi="Arial" w:cs="Arial"/>
        </w:rPr>
        <w:t>Η Μονάδα Παρεντερικής Διατροφής-</w:t>
      </w:r>
      <w:r w:rsidR="00395B4D">
        <w:rPr>
          <w:rFonts w:ascii="Arial" w:hAnsi="Arial" w:cs="Arial"/>
          <w:szCs w:val="28"/>
        </w:rPr>
        <w:t>Κυτταροστατικών διαλυμάτων</w:t>
      </w:r>
      <w:r>
        <w:rPr>
          <w:rFonts w:ascii="Arial" w:hAnsi="Arial" w:cs="Arial"/>
          <w:sz w:val="22"/>
        </w:rPr>
        <w:t xml:space="preserve"> </w:t>
      </w:r>
      <w:r>
        <w:rPr>
          <w:rFonts w:ascii="Arial" w:hAnsi="Arial" w:cs="Arial"/>
        </w:rPr>
        <w:t xml:space="preserve">στεγάζεται στο </w:t>
      </w:r>
      <w:r w:rsidR="00395B4D">
        <w:rPr>
          <w:rFonts w:ascii="Arial" w:hAnsi="Arial" w:cs="Arial"/>
        </w:rPr>
        <w:t>Νοσοκομείο Αρχ. Μακάριος ΙΙΙ</w:t>
      </w:r>
      <w:r>
        <w:rPr>
          <w:rFonts w:ascii="Arial" w:hAnsi="Arial" w:cs="Arial"/>
        </w:rPr>
        <w:t>, Λευκωσία και στελεχώνεται από εξειδικευμένο προσωπικό.</w:t>
      </w:r>
    </w:p>
    <w:p w:rsidR="00A87079" w:rsidRDefault="00A87079" w:rsidP="00A87079">
      <w:pPr>
        <w:spacing w:before="160" w:after="160" w:line="276" w:lineRule="auto"/>
        <w:rPr>
          <w:rFonts w:ascii="Arial" w:hAnsi="Arial" w:cs="Arial"/>
        </w:rPr>
      </w:pPr>
      <w:r>
        <w:rPr>
          <w:rFonts w:ascii="Arial" w:hAnsi="Arial" w:cs="Arial"/>
        </w:rPr>
        <w:t>Με στόχο, τόσο την αναβάθμιση, όσο και την επέκταση των παρεχόμενων υπηρεσιών, η Μονάδα έχει μεταφερθεί σε νέο χώρο και από τον Απρίλιο του 2011 λειτουργεί με 2 εργαστήρια, συμφώνα με τις ευρωπαϊκές προδιαγραφές.</w:t>
      </w:r>
    </w:p>
    <w:p w:rsidR="00A87079" w:rsidRDefault="00A87079" w:rsidP="00A87079">
      <w:pPr>
        <w:spacing w:before="160" w:after="160" w:line="276" w:lineRule="auto"/>
        <w:rPr>
          <w:rFonts w:ascii="Arial" w:hAnsi="Arial" w:cs="Arial"/>
        </w:rPr>
      </w:pPr>
      <w:r>
        <w:rPr>
          <w:rFonts w:ascii="Arial" w:hAnsi="Arial" w:cs="Arial"/>
        </w:rPr>
        <w:t>Στη Μονάδα παρασκευάζονται κάτω από άσηπτες συνθήκες διαλύματα ολικής παρεντερικής διατροφής για νεογνά, παιδιά και ενήλικες, όταν στα πλαίσια της θεραπευτικής τους αγωγής, είναι αναγκαία η θρεπτική ή μεταβολική τους υποστήριξη.</w:t>
      </w:r>
    </w:p>
    <w:p w:rsidR="00A87079" w:rsidRDefault="00A87079" w:rsidP="00A87079">
      <w:pPr>
        <w:spacing w:before="160" w:after="160" w:line="276" w:lineRule="auto"/>
        <w:rPr>
          <w:rFonts w:ascii="Arial" w:hAnsi="Arial" w:cs="Arial"/>
        </w:rPr>
      </w:pPr>
      <w:r>
        <w:rPr>
          <w:rFonts w:ascii="Arial" w:hAnsi="Arial" w:cs="Arial"/>
        </w:rPr>
        <w:t>Στη</w:t>
      </w:r>
      <w:r w:rsidR="00395B4D">
        <w:rPr>
          <w:rFonts w:ascii="Arial" w:hAnsi="Arial" w:cs="Arial"/>
        </w:rPr>
        <w:t xml:space="preserve"> Μονάδα ετοιμάζονται επίσης διαλύματα</w:t>
      </w:r>
      <w:r>
        <w:rPr>
          <w:rFonts w:ascii="Arial" w:hAnsi="Arial" w:cs="Arial"/>
        </w:rPr>
        <w:t xml:space="preserve"> κυτταροστατικών και επικίνδυνων φαρμάκων για ασθενείς της Παιδογκολογικής Κλινικής του Νοσοκομείου.</w:t>
      </w:r>
    </w:p>
    <w:p w:rsidR="00A87079" w:rsidRDefault="00A87079" w:rsidP="00A87079">
      <w:pPr>
        <w:spacing w:before="160" w:after="160" w:line="276" w:lineRule="auto"/>
        <w:rPr>
          <w:rFonts w:ascii="Arial" w:hAnsi="Arial" w:cs="Arial"/>
        </w:rPr>
      </w:pPr>
      <w:r>
        <w:rPr>
          <w:rFonts w:ascii="Arial" w:hAnsi="Arial" w:cs="Arial"/>
        </w:rPr>
        <w:t>Επιπλέον παρασκευάζονται διαλύματ</w:t>
      </w:r>
      <w:r w:rsidR="00395B4D">
        <w:rPr>
          <w:rFonts w:ascii="Arial" w:hAnsi="Arial" w:cs="Arial"/>
        </w:rPr>
        <w:t>α για ενδοφλέβια χρήση όπως διαλύματα</w:t>
      </w:r>
      <w:r>
        <w:rPr>
          <w:rFonts w:ascii="Arial" w:hAnsi="Arial" w:cs="Arial"/>
        </w:rPr>
        <w:t xml:space="preserve"> αντιμυκητιασικών φαρμάκων ,ορφανών φαρμάκων καθώς και  διαλύματα αντιβιοτικών για οφθαλμική χρήση.  </w:t>
      </w:r>
    </w:p>
    <w:p w:rsidR="00A87079" w:rsidRDefault="00A87079" w:rsidP="00A87079">
      <w:pPr>
        <w:spacing w:before="160" w:after="160" w:line="276" w:lineRule="auto"/>
        <w:rPr>
          <w:rFonts w:ascii="Arial" w:hAnsi="Arial" w:cs="Arial"/>
        </w:rPr>
      </w:pPr>
      <w:r>
        <w:rPr>
          <w:rFonts w:ascii="Arial" w:hAnsi="Arial" w:cs="Arial"/>
        </w:rPr>
        <w:t xml:space="preserve">Η Μονάδα παρέχει υπηρεσίες σε ασθενείς κλινικών </w:t>
      </w:r>
      <w:r w:rsidR="00395B4D">
        <w:rPr>
          <w:rFonts w:ascii="Arial" w:hAnsi="Arial" w:cs="Arial"/>
        </w:rPr>
        <w:t xml:space="preserve">του Νοσοκομείου Αρχ. Μακάριος ΙΙΙ </w:t>
      </w:r>
      <w:r>
        <w:rPr>
          <w:rFonts w:ascii="Arial" w:hAnsi="Arial" w:cs="Arial"/>
        </w:rPr>
        <w:t xml:space="preserve">(Μονάδα Εντατικής Νοσηλείας Νεογνών και Παίδων, Παιδιατρική, Παιδοχειρουργική και Παιδογκολογική Κλινική), καθώς και σε ασθενείς στο Γενικό Νοσοκομείο Λευκωσίας, τα επαρχιακά νοσηλευτήρια, το Ογκολογικό Κέντρο της Τράπεζας Κύπρου και ιδιωτικά ιατρικά κέντρα. </w:t>
      </w:r>
    </w:p>
    <w:p w:rsidR="00A87079" w:rsidRDefault="00A87079" w:rsidP="00A87079">
      <w:pPr>
        <w:spacing w:before="160" w:after="160" w:line="276" w:lineRule="auto"/>
        <w:rPr>
          <w:rFonts w:ascii="Arial" w:hAnsi="Arial" w:cs="Arial"/>
        </w:rPr>
      </w:pPr>
      <w:r>
        <w:rPr>
          <w:rFonts w:ascii="Arial" w:hAnsi="Arial" w:cs="Arial"/>
        </w:rPr>
        <w:t>Στη διάρκεια του έτους 2012 παρασκευάστηκαν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054"/>
      </w:tblGrid>
      <w:tr w:rsidR="00A87079" w:rsidTr="00DB2BD0">
        <w:trPr>
          <w:trHeight w:val="392"/>
        </w:trPr>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after="0" w:line="276" w:lineRule="auto"/>
              <w:jc w:val="center"/>
              <w:rPr>
                <w:rFonts w:ascii="Arial" w:hAnsi="Arial" w:cs="Arial"/>
                <w:b/>
                <w:lang w:eastAsia="en-US"/>
              </w:rPr>
            </w:pPr>
            <w:r>
              <w:rPr>
                <w:rFonts w:ascii="Arial" w:hAnsi="Arial" w:cs="Arial"/>
                <w:b/>
              </w:rPr>
              <w:lastRenderedPageBreak/>
              <w:t>Είδος</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after="0" w:line="276" w:lineRule="auto"/>
              <w:jc w:val="center"/>
              <w:rPr>
                <w:rFonts w:ascii="Arial" w:hAnsi="Arial" w:cs="Arial"/>
                <w:b/>
                <w:lang w:eastAsia="en-US"/>
              </w:rPr>
            </w:pPr>
            <w:r>
              <w:rPr>
                <w:rFonts w:ascii="Arial" w:hAnsi="Arial" w:cs="Arial"/>
                <w:b/>
              </w:rPr>
              <w:t>Αριθμός</w:t>
            </w:r>
          </w:p>
        </w:tc>
      </w:tr>
      <w:tr w:rsidR="00A87079" w:rsidTr="00DB2BD0">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395B4D" w:rsidP="00DB2BD0">
            <w:pPr>
              <w:spacing w:before="120" w:after="0" w:line="276" w:lineRule="auto"/>
              <w:jc w:val="center"/>
              <w:rPr>
                <w:rFonts w:ascii="Arial" w:hAnsi="Arial" w:cs="Arial"/>
                <w:lang w:eastAsia="en-US"/>
              </w:rPr>
            </w:pPr>
            <w:r>
              <w:rPr>
                <w:rFonts w:ascii="Arial" w:hAnsi="Arial" w:cs="Arial"/>
              </w:rPr>
              <w:t>Διαλύματα</w:t>
            </w:r>
            <w:r w:rsidR="00A87079">
              <w:rPr>
                <w:rFonts w:ascii="Arial" w:hAnsi="Arial" w:cs="Arial"/>
                <w:szCs w:val="28"/>
              </w:rPr>
              <w:t xml:space="preserve"> παρεντερικής διατροφής</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before="120" w:after="0" w:line="276" w:lineRule="auto"/>
              <w:jc w:val="center"/>
              <w:rPr>
                <w:rFonts w:ascii="Arial" w:hAnsi="Arial" w:cs="Arial"/>
                <w:lang w:eastAsia="en-US"/>
              </w:rPr>
            </w:pPr>
            <w:r>
              <w:rPr>
                <w:rFonts w:ascii="Arial" w:hAnsi="Arial" w:cs="Arial"/>
                <w:sz w:val="26"/>
                <w:szCs w:val="26"/>
              </w:rPr>
              <w:t>10625 σάκοι</w:t>
            </w:r>
          </w:p>
        </w:tc>
      </w:tr>
      <w:tr w:rsidR="00A87079" w:rsidTr="00DB2BD0">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395B4D" w:rsidP="00DB2BD0">
            <w:pPr>
              <w:spacing w:before="120" w:after="0" w:line="276" w:lineRule="auto"/>
              <w:jc w:val="center"/>
              <w:rPr>
                <w:rFonts w:ascii="Arial" w:hAnsi="Arial" w:cs="Arial"/>
                <w:lang w:eastAsia="en-US"/>
              </w:rPr>
            </w:pPr>
            <w:r>
              <w:rPr>
                <w:rFonts w:ascii="Arial" w:hAnsi="Arial" w:cs="Arial"/>
              </w:rPr>
              <w:t>Διαλύματα</w:t>
            </w:r>
            <w:r w:rsidR="00A87079">
              <w:rPr>
                <w:rFonts w:ascii="Arial" w:hAnsi="Arial" w:cs="Arial"/>
              </w:rPr>
              <w:t xml:space="preserve"> Κυτταροστατικών και επικίνδυνων φαρμάκων έτοιμα προς χορήγηση</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before="120" w:after="0" w:line="276" w:lineRule="auto"/>
              <w:jc w:val="center"/>
              <w:rPr>
                <w:rFonts w:ascii="Arial" w:hAnsi="Arial" w:cs="Arial"/>
                <w:lang w:eastAsia="en-US"/>
              </w:rPr>
            </w:pPr>
            <w:r>
              <w:rPr>
                <w:rFonts w:ascii="Arial" w:hAnsi="Arial" w:cs="Arial"/>
              </w:rPr>
              <w:t>1758 δόσεις</w:t>
            </w:r>
          </w:p>
        </w:tc>
      </w:tr>
      <w:tr w:rsidR="00A87079" w:rsidTr="00DB2BD0">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395B4D" w:rsidP="00DB2BD0">
            <w:pPr>
              <w:spacing w:before="120" w:after="0" w:line="276" w:lineRule="auto"/>
              <w:jc w:val="center"/>
              <w:rPr>
                <w:rFonts w:ascii="Arial" w:hAnsi="Arial" w:cs="Arial"/>
                <w:lang w:eastAsia="en-US"/>
              </w:rPr>
            </w:pPr>
            <w:r>
              <w:rPr>
                <w:rFonts w:ascii="Arial" w:hAnsi="Arial" w:cs="Arial"/>
              </w:rPr>
              <w:t>Διαλύματα</w:t>
            </w:r>
            <w:r w:rsidR="00A87079">
              <w:rPr>
                <w:rFonts w:ascii="Arial" w:hAnsi="Arial" w:cs="Arial"/>
              </w:rPr>
              <w:t xml:space="preserve"> αντιμυκητιασικών φαρμάκων έτοιμα προς χορήγηση</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before="120" w:after="0" w:line="276" w:lineRule="auto"/>
              <w:jc w:val="center"/>
              <w:rPr>
                <w:rFonts w:ascii="Arial" w:hAnsi="Arial" w:cs="Arial"/>
                <w:lang w:eastAsia="en-US"/>
              </w:rPr>
            </w:pPr>
            <w:r>
              <w:rPr>
                <w:rFonts w:ascii="Arial" w:hAnsi="Arial" w:cs="Arial"/>
              </w:rPr>
              <w:t>2485 δόσεις</w:t>
            </w:r>
          </w:p>
        </w:tc>
      </w:tr>
      <w:tr w:rsidR="00A87079" w:rsidTr="00DB2BD0">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D6511E" w:rsidP="00DB2BD0">
            <w:pPr>
              <w:spacing w:before="120" w:after="0" w:line="276" w:lineRule="auto"/>
              <w:jc w:val="center"/>
              <w:rPr>
                <w:rFonts w:ascii="Arial" w:hAnsi="Arial" w:cs="Arial"/>
                <w:lang w:eastAsia="en-US"/>
              </w:rPr>
            </w:pPr>
            <w:r>
              <w:rPr>
                <w:rFonts w:ascii="Arial" w:hAnsi="Arial" w:cs="Arial"/>
              </w:rPr>
              <w:t>Άλλα ενδοφλέβια δια</w:t>
            </w:r>
            <w:r w:rsidR="00395B4D">
              <w:rPr>
                <w:rFonts w:ascii="Arial" w:hAnsi="Arial" w:cs="Arial"/>
              </w:rPr>
              <w:t>λύματα</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before="120" w:after="0" w:line="276" w:lineRule="auto"/>
              <w:jc w:val="center"/>
              <w:rPr>
                <w:rFonts w:ascii="Arial" w:hAnsi="Arial" w:cs="Arial"/>
                <w:lang w:eastAsia="en-US"/>
              </w:rPr>
            </w:pPr>
            <w:r>
              <w:rPr>
                <w:rFonts w:ascii="Arial" w:hAnsi="Arial" w:cs="Arial"/>
              </w:rPr>
              <w:t>180 δόσεις</w:t>
            </w:r>
          </w:p>
        </w:tc>
      </w:tr>
      <w:tr w:rsidR="00A87079" w:rsidTr="00DB2BD0">
        <w:tc>
          <w:tcPr>
            <w:tcW w:w="4928" w:type="dxa"/>
            <w:tcBorders>
              <w:top w:val="single" w:sz="4" w:space="0" w:color="000000"/>
              <w:left w:val="single" w:sz="4" w:space="0" w:color="000000"/>
              <w:bottom w:val="single" w:sz="4" w:space="0" w:color="000000"/>
              <w:right w:val="single" w:sz="4" w:space="0" w:color="000000"/>
            </w:tcBorders>
            <w:vAlign w:val="center"/>
            <w:hideMark/>
          </w:tcPr>
          <w:p w:rsidR="00A87079" w:rsidRDefault="00395B4D" w:rsidP="00DB2BD0">
            <w:pPr>
              <w:spacing w:before="120" w:after="0" w:line="276" w:lineRule="auto"/>
              <w:jc w:val="center"/>
              <w:rPr>
                <w:rFonts w:ascii="Arial" w:hAnsi="Arial" w:cs="Arial"/>
                <w:lang w:eastAsia="en-US"/>
              </w:rPr>
            </w:pPr>
            <w:r>
              <w:rPr>
                <w:rFonts w:ascii="Arial" w:hAnsi="Arial" w:cs="Arial"/>
              </w:rPr>
              <w:t>Διαλύματα</w:t>
            </w:r>
            <w:r w:rsidR="00A87079">
              <w:rPr>
                <w:rFonts w:ascii="Arial" w:hAnsi="Arial" w:cs="Arial"/>
              </w:rPr>
              <w:t xml:space="preserve"> για οφθαλμική χρήση</w:t>
            </w:r>
          </w:p>
        </w:tc>
        <w:tc>
          <w:tcPr>
            <w:tcW w:w="4054" w:type="dxa"/>
            <w:tcBorders>
              <w:top w:val="single" w:sz="4" w:space="0" w:color="000000"/>
              <w:left w:val="single" w:sz="4" w:space="0" w:color="000000"/>
              <w:bottom w:val="single" w:sz="4" w:space="0" w:color="000000"/>
              <w:right w:val="single" w:sz="4" w:space="0" w:color="000000"/>
            </w:tcBorders>
            <w:vAlign w:val="center"/>
            <w:hideMark/>
          </w:tcPr>
          <w:p w:rsidR="00A87079" w:rsidRDefault="00A87079" w:rsidP="00DB2BD0">
            <w:pPr>
              <w:spacing w:before="120" w:after="0" w:line="276" w:lineRule="auto"/>
              <w:jc w:val="center"/>
              <w:rPr>
                <w:rFonts w:ascii="Arial" w:hAnsi="Arial" w:cs="Arial"/>
                <w:lang w:eastAsia="en-US"/>
              </w:rPr>
            </w:pPr>
            <w:r>
              <w:rPr>
                <w:rFonts w:ascii="Arial" w:hAnsi="Arial" w:cs="Arial"/>
              </w:rPr>
              <w:t>164 φιαλίδια</w:t>
            </w:r>
          </w:p>
        </w:tc>
      </w:tr>
    </w:tbl>
    <w:p w:rsidR="00241894" w:rsidRDefault="00241894" w:rsidP="005110E4">
      <w:pPr>
        <w:rPr>
          <w:b/>
        </w:rPr>
      </w:pPr>
    </w:p>
    <w:p w:rsidR="005110E4" w:rsidRPr="00241894" w:rsidRDefault="00804027" w:rsidP="00CE4845">
      <w:pPr>
        <w:pStyle w:val="Heading4"/>
      </w:pPr>
      <w:bookmarkStart w:id="123" w:name="_Toc383086835"/>
      <w:r w:rsidRPr="00241894">
        <w:t>Μονάδα Παρεντερικής Διατροφής Λεμεσού</w:t>
      </w:r>
      <w:bookmarkEnd w:id="123"/>
    </w:p>
    <w:p w:rsidR="00804027" w:rsidRPr="00241894" w:rsidRDefault="00804027" w:rsidP="005110E4">
      <w:r w:rsidRPr="00241894">
        <w:t>Με στόχο την καλύτερη εξυπηρέτηση των ασθενών σε παγκύπρια κλίμακα έχει αρχίσει τις εργασίες της, από τον Ιούνιο του 2009, η νέα Μονάδα Παρεντερικής Διατροφής Λεμεσού, η οποία στεγάζεται στο Γενικό Νοσοκομείο Λεμεσού. Η Μονάδα η οποία είναι πλήρως εξοπλισμένη</w:t>
      </w:r>
      <w:r w:rsidR="00C31B69" w:rsidRPr="00241894">
        <w:t xml:space="preserve"> στελεχώνεται με εξειδικευμένο προσωπικό.</w:t>
      </w:r>
    </w:p>
    <w:p w:rsidR="00C31B69" w:rsidRPr="00241894" w:rsidRDefault="00CD2529" w:rsidP="005110E4">
      <w:r>
        <w:t>Κατά τη διάρκεια του έτους 2012 ετοιμάστηκαν 48991</w:t>
      </w:r>
      <w:r w:rsidR="00C31B69" w:rsidRPr="00241894">
        <w:t xml:space="preserve"> ελαστομερείς  αντλίες έκχυσης του διαλύματος δεσφεριοξαμίνης. </w:t>
      </w:r>
    </w:p>
    <w:p w:rsidR="00A358F4" w:rsidRDefault="00B73966" w:rsidP="003C02BD">
      <w:pPr>
        <w:pStyle w:val="Heading2"/>
      </w:pPr>
      <w:bookmarkStart w:id="124" w:name="_Toc383086836"/>
      <w:r>
        <w:t>Στόχοι που υλοποιήθηκαν / Στόχοι σε εξέλιξη</w:t>
      </w:r>
      <w:bookmarkEnd w:id="124"/>
      <w:r>
        <w:t xml:space="preserve"> </w:t>
      </w:r>
    </w:p>
    <w:p w:rsidR="003C02BD" w:rsidRPr="003C02BD" w:rsidRDefault="003C02BD" w:rsidP="003C02BD">
      <w:pPr>
        <w:pStyle w:val="ListParagraph"/>
        <w:keepNext/>
        <w:pageBreakBefore/>
        <w:numPr>
          <w:ilvl w:val="1"/>
          <w:numId w:val="44"/>
        </w:numPr>
        <w:spacing w:before="240" w:after="240"/>
        <w:contextualSpacing w:val="0"/>
        <w:jc w:val="center"/>
        <w:outlineLvl w:val="0"/>
        <w:rPr>
          <w:rFonts w:ascii="Arial" w:hAnsi="Arial" w:cs="Arial"/>
          <w:b/>
          <w:bCs/>
          <w:vanish/>
          <w:color w:val="FF0000"/>
          <w:kern w:val="32"/>
          <w:sz w:val="32"/>
          <w:szCs w:val="32"/>
          <w:lang w:val="el-GR" w:eastAsia="el-GR"/>
        </w:rPr>
      </w:pPr>
      <w:bookmarkStart w:id="125" w:name="_Toc383085504"/>
      <w:bookmarkStart w:id="126" w:name="_Toc383086274"/>
      <w:bookmarkStart w:id="127" w:name="_Toc383086837"/>
      <w:bookmarkEnd w:id="125"/>
      <w:bookmarkEnd w:id="126"/>
      <w:bookmarkEnd w:id="127"/>
    </w:p>
    <w:p w:rsidR="00A358F4" w:rsidRDefault="00B73966" w:rsidP="003C02BD">
      <w:pPr>
        <w:pStyle w:val="Heading3"/>
      </w:pPr>
      <w:bookmarkStart w:id="128" w:name="_Toc383086838"/>
      <w:r>
        <w:t>Διάθεση Νέων Φαρμακοθεραπειών στους δικαιούχους ασθενείς</w:t>
      </w:r>
      <w:bookmarkEnd w:id="128"/>
    </w:p>
    <w:p w:rsidR="00A358F4" w:rsidRDefault="00B73966">
      <w:r w:rsidRPr="00C42F73">
        <w:t>Οι Φαρμακευτικές Υπηρεσίες προχώρησαν στην αναβάθμιση των φαρμακοθεραπειών που παρέχονται προς τους δικαιούχους ασθενείς και ιδιαίτερα σε ομάδες ασθενών όπως οι ρευματοπαθείς, καρκινοπαθείς, νεφροπαθείς, καρδιοπαθείς, ασθενείς με επιληψία</w:t>
      </w:r>
      <w:r w:rsidR="00C42F73">
        <w:t xml:space="preserve"> και</w:t>
      </w:r>
      <w:r w:rsidRPr="00C42F73">
        <w:t xml:space="preserve"> ασθενείς με αναπνευστικές παθήσεις</w:t>
      </w:r>
      <w:r w:rsidR="00C42F73">
        <w:t>.</w:t>
      </w:r>
      <w:r w:rsidRPr="00C42F73">
        <w:t xml:space="preserve"> </w:t>
      </w:r>
    </w:p>
    <w:p w:rsidR="00F470ED" w:rsidRDefault="00F470ED" w:rsidP="003C02BD">
      <w:pPr>
        <w:pStyle w:val="Heading3"/>
      </w:pPr>
      <w:bookmarkStart w:id="129" w:name="_Toc383086839"/>
      <w:r w:rsidRPr="00F470ED">
        <w:t>Αναχαίτιση της αλματώδους αύξησης στις δαπάνες για τα φάρμακα</w:t>
      </w:r>
      <w:bookmarkEnd w:id="129"/>
      <w:r w:rsidRPr="00F470ED">
        <w:t xml:space="preserve"> </w:t>
      </w:r>
    </w:p>
    <w:p w:rsidR="00F470ED" w:rsidRPr="00FD1B10" w:rsidRDefault="00F470ED" w:rsidP="00FD1B10">
      <w:pPr>
        <w:pStyle w:val="Title"/>
        <w:spacing w:after="100" w:afterAutospacing="1"/>
        <w:jc w:val="both"/>
        <w:rPr>
          <w:rFonts w:ascii="Times New Roman" w:hAnsi="Times New Roman" w:cs="Times New Roman"/>
          <w:b w:val="0"/>
          <w:bCs w:val="0"/>
          <w:sz w:val="24"/>
          <w:szCs w:val="24"/>
          <w:u w:val="none"/>
        </w:rPr>
      </w:pPr>
      <w:r w:rsidRPr="003B28F4">
        <w:rPr>
          <w:rFonts w:ascii="Times New Roman" w:hAnsi="Times New Roman" w:cs="Times New Roman"/>
          <w:b w:val="0"/>
          <w:bCs w:val="0"/>
          <w:sz w:val="24"/>
          <w:szCs w:val="24"/>
          <w:u w:val="none"/>
        </w:rPr>
        <w:t>Μέσα στα πλαίσια σχετική απόφασης από το Υπουργικό Συμβούλιο (αρ.65.053, ημερομηνίας 14.2.2007</w:t>
      </w:r>
      <w:r w:rsidRPr="00FD1B10">
        <w:rPr>
          <w:rFonts w:ascii="Times New Roman" w:hAnsi="Times New Roman" w:cs="Times New Roman"/>
          <w:b w:val="0"/>
          <w:bCs w:val="0"/>
          <w:sz w:val="24"/>
          <w:szCs w:val="24"/>
          <w:u w:val="none"/>
        </w:rPr>
        <w:t>)</w:t>
      </w:r>
      <w:r w:rsidR="00FD1B10" w:rsidRPr="00FD1B10">
        <w:rPr>
          <w:rFonts w:ascii="Times New Roman" w:hAnsi="Times New Roman" w:cs="Times New Roman"/>
          <w:b w:val="0"/>
          <w:bCs w:val="0"/>
          <w:sz w:val="24"/>
          <w:szCs w:val="24"/>
          <w:u w:val="none"/>
        </w:rPr>
        <w:t xml:space="preserve"> </w:t>
      </w:r>
      <w:r w:rsidR="00FD1B10">
        <w:rPr>
          <w:rFonts w:ascii="Times New Roman" w:hAnsi="Times New Roman" w:cs="Times New Roman"/>
          <w:b w:val="0"/>
          <w:bCs w:val="0"/>
          <w:sz w:val="24"/>
          <w:szCs w:val="24"/>
          <w:u w:val="none"/>
        </w:rPr>
        <w:t>σ</w:t>
      </w:r>
      <w:r w:rsidR="003B28F4" w:rsidRPr="00FD1B10">
        <w:rPr>
          <w:rFonts w:ascii="Times New Roman" w:hAnsi="Times New Roman" w:cs="Times New Roman"/>
          <w:b w:val="0"/>
          <w:sz w:val="24"/>
          <w:szCs w:val="24"/>
          <w:u w:val="none"/>
        </w:rPr>
        <w:t xml:space="preserve">υνεχίστηκε η πρακτική που υιοθετήθηκε, με θετικά αποτελέσματα, για την </w:t>
      </w:r>
      <w:r w:rsidRPr="00FD1B10">
        <w:rPr>
          <w:rFonts w:ascii="Times New Roman" w:hAnsi="Times New Roman" w:cs="Times New Roman"/>
          <w:b w:val="0"/>
          <w:sz w:val="24"/>
          <w:szCs w:val="24"/>
          <w:u w:val="none"/>
        </w:rPr>
        <w:t>εισαγωγή ανταγωνισμού μεταξύ θεραπευτικά ισοδύναμων φαρμάκων στον κρατικό τομέα</w:t>
      </w:r>
      <w:r w:rsidRPr="00FD1B10">
        <w:rPr>
          <w:rFonts w:ascii="Times New Roman" w:hAnsi="Times New Roman" w:cs="Times New Roman"/>
          <w:b w:val="0"/>
          <w:bCs w:val="0"/>
          <w:sz w:val="24"/>
          <w:szCs w:val="24"/>
          <w:u w:val="none"/>
        </w:rPr>
        <w:t>.</w:t>
      </w:r>
      <w:r w:rsidR="003B28F4" w:rsidRPr="00FD1B10">
        <w:rPr>
          <w:rFonts w:ascii="Times New Roman" w:hAnsi="Times New Roman" w:cs="Times New Roman"/>
          <w:b w:val="0"/>
          <w:bCs w:val="0"/>
          <w:sz w:val="24"/>
          <w:szCs w:val="24"/>
          <w:u w:val="none"/>
        </w:rPr>
        <w:t xml:space="preserve"> </w:t>
      </w:r>
    </w:p>
    <w:p w:rsidR="00F470ED" w:rsidRPr="003B28F4" w:rsidRDefault="003F20DC" w:rsidP="003F20DC">
      <w:pPr>
        <w:pStyle w:val="NormalWeb"/>
        <w:spacing w:before="120" w:beforeAutospacing="0"/>
        <w:jc w:val="both"/>
        <w:rPr>
          <w:rFonts w:ascii="Times New Roman" w:hAnsi="Times New Roman" w:cs="Times New Roman"/>
          <w:lang w:val="el-GR"/>
        </w:rPr>
      </w:pPr>
      <w:r>
        <w:rPr>
          <w:rFonts w:ascii="Times New Roman" w:hAnsi="Times New Roman" w:cs="Times New Roman"/>
          <w:lang w:val="el-GR"/>
        </w:rPr>
        <w:t>Επιπλέον, σ</w:t>
      </w:r>
      <w:r w:rsidR="003B28F4">
        <w:rPr>
          <w:rFonts w:ascii="Times New Roman" w:hAnsi="Times New Roman" w:cs="Times New Roman"/>
          <w:lang w:val="el-GR"/>
        </w:rPr>
        <w:t>υνεχί</w:t>
      </w:r>
      <w:r w:rsidR="00E51156">
        <w:rPr>
          <w:rFonts w:ascii="Times New Roman" w:hAnsi="Times New Roman" w:cs="Times New Roman"/>
          <w:lang w:val="el-GR"/>
        </w:rPr>
        <w:t>ζεται</w:t>
      </w:r>
      <w:r w:rsidR="003B28F4">
        <w:rPr>
          <w:rFonts w:ascii="Times New Roman" w:hAnsi="Times New Roman" w:cs="Times New Roman"/>
          <w:lang w:val="el-GR"/>
        </w:rPr>
        <w:t xml:space="preserve"> η </w:t>
      </w:r>
      <w:r w:rsidR="00F470ED" w:rsidRPr="003B28F4">
        <w:rPr>
          <w:rFonts w:ascii="Times New Roman" w:hAnsi="Times New Roman" w:cs="Times New Roman"/>
          <w:lang w:val="el-GR"/>
        </w:rPr>
        <w:t xml:space="preserve">λειτουργία της Επιτροπής Φαρμάκων με όρους εντολής που αφορούν κυρίως την εισαγωγή νέων φαρμάκων στο συνταγολόγιο, εξειδικευμένα περιστατικά για προμήθεια φαρμακευτικής αγωγής που δεν εμπίπτει στο συνταγολόγιο των κρατικών νοσηλευτηρίων και συνεχή αναθεώρηση του συνταγολογίου ώστε να υπάρχει προσαρμογή με τις τρέχουσες εξελίξεις </w:t>
      </w:r>
    </w:p>
    <w:p w:rsidR="00BB0FE1" w:rsidRDefault="00BB0FE1" w:rsidP="003C02BD">
      <w:pPr>
        <w:pStyle w:val="Heading3"/>
      </w:pPr>
      <w:bookmarkStart w:id="130" w:name="_Toc383086840"/>
      <w:r w:rsidRPr="002E7A23">
        <w:t>Ενίσχυση της συνεργασίας Ιδιωτικού και Κρατικού Τομέα</w:t>
      </w:r>
      <w:bookmarkEnd w:id="130"/>
      <w:r w:rsidRPr="002E7A23">
        <w:t xml:space="preserve"> </w:t>
      </w:r>
    </w:p>
    <w:p w:rsidR="00BB0FE1" w:rsidRPr="00BB0FE1" w:rsidRDefault="007F0A0D" w:rsidP="007F0A0D">
      <w:pPr>
        <w:spacing w:before="120"/>
      </w:pPr>
      <w:r w:rsidRPr="007F0A0D">
        <w:rPr>
          <w:bCs/>
        </w:rPr>
        <w:t xml:space="preserve">Εφαρμόστηκε από τις 15 Μαΐου 2007  και συνεχίζει με επιτυχία ο θεσμός του </w:t>
      </w:r>
      <w:r w:rsidRPr="007F0A0D">
        <w:rPr>
          <w:bCs/>
          <w:lang w:val="en-US"/>
        </w:rPr>
        <w:t>co</w:t>
      </w:r>
      <w:r w:rsidRPr="007F0A0D">
        <w:rPr>
          <w:bCs/>
        </w:rPr>
        <w:t>-</w:t>
      </w:r>
      <w:r w:rsidRPr="007F0A0D">
        <w:rPr>
          <w:bCs/>
          <w:lang w:val="en-US"/>
        </w:rPr>
        <w:t>payment</w:t>
      </w:r>
      <w:r w:rsidRPr="007F0A0D">
        <w:rPr>
          <w:bCs/>
        </w:rPr>
        <w:t>/ σχέδιο επιδότησης συμπληρωμής</w:t>
      </w:r>
      <w:r>
        <w:rPr>
          <w:bCs/>
        </w:rPr>
        <w:t>.</w:t>
      </w:r>
      <w:r w:rsidRPr="007F0A0D">
        <w:t xml:space="preserve"> Η </w:t>
      </w:r>
      <w:r w:rsidR="00BB0FE1" w:rsidRPr="007F0A0D">
        <w:t xml:space="preserve">εφαρμογή του θεσμού του </w:t>
      </w:r>
      <w:r w:rsidR="00BB0FE1" w:rsidRPr="007F0A0D">
        <w:rPr>
          <w:lang w:val="en-US"/>
        </w:rPr>
        <w:t>co</w:t>
      </w:r>
      <w:r w:rsidR="00BB0FE1" w:rsidRPr="007F0A0D">
        <w:t>-</w:t>
      </w:r>
      <w:r w:rsidR="00BB0FE1" w:rsidRPr="007F0A0D">
        <w:rPr>
          <w:lang w:val="en-US"/>
        </w:rPr>
        <w:t>payment</w:t>
      </w:r>
      <w:r w:rsidR="00BB0FE1" w:rsidRPr="007F0A0D">
        <w:t xml:space="preserve"> ο οποίος εντάσσεται</w:t>
      </w:r>
      <w:r w:rsidR="00BB0FE1" w:rsidRPr="00BB0FE1">
        <w:t xml:space="preserve"> μέσα στα πλαίσια της αναβάθμισης των υπηρεσιών προς του ασθενείς (πρόσβαση των ασθενών σε φαρμακευτικά σκευάσματα δικής τους επιλογής)</w:t>
      </w:r>
      <w:r w:rsidR="00BB0FE1">
        <w:t xml:space="preserve"> έχει </w:t>
      </w:r>
      <w:r>
        <w:t>ενισχύσει σημαντικά τις προσπάθειες  για συνεργασία του Ιδιωτικού με τον Κρατικό Τομέα</w:t>
      </w:r>
      <w:r w:rsidR="00245F2F">
        <w:t xml:space="preserve">. Το σχέδιο, </w:t>
      </w:r>
      <w:r w:rsidR="00BB0FE1" w:rsidRPr="00BB0FE1">
        <w:t xml:space="preserve"> προσφέρει </w:t>
      </w:r>
      <w:r w:rsidR="00BB0FE1" w:rsidRPr="00BB0FE1">
        <w:lastRenderedPageBreak/>
        <w:t>τη δυνατότητα στον ασθενή να επιλέξει φάρμακα διαφορετικά από εκείνα που περιλαμβάνονται στο Κρατικό Συνταγολόγιο.</w:t>
      </w:r>
    </w:p>
    <w:p w:rsidR="00532DDE" w:rsidRPr="004939FC" w:rsidRDefault="00BB0FE1" w:rsidP="007F0A0D">
      <w:pPr>
        <w:spacing w:after="100" w:afterAutospacing="1"/>
      </w:pPr>
      <w:r w:rsidRPr="007F0A0D">
        <w:t xml:space="preserve">Το 2007,  με την έναρξη του θεσμού του </w:t>
      </w:r>
      <w:r w:rsidRPr="007F0A0D">
        <w:rPr>
          <w:lang w:val="en-US"/>
        </w:rPr>
        <w:t>co</w:t>
      </w:r>
      <w:r w:rsidRPr="007F0A0D">
        <w:t>-</w:t>
      </w:r>
      <w:r w:rsidRPr="007F0A0D">
        <w:rPr>
          <w:lang w:val="en-US"/>
        </w:rPr>
        <w:t>payment</w:t>
      </w:r>
      <w:r w:rsidR="007F0A0D">
        <w:t xml:space="preserve"> </w:t>
      </w:r>
      <w:r w:rsidRPr="007F0A0D">
        <w:t xml:space="preserve"> η δαπάνη ανήλθε στις  €90.000</w:t>
      </w:r>
      <w:r w:rsidR="0094356E">
        <w:t xml:space="preserve">  ενώ </w:t>
      </w:r>
      <w:r w:rsidRPr="007F0A0D">
        <w:t xml:space="preserve">το 2008 </w:t>
      </w:r>
      <w:r w:rsidR="0094356E">
        <w:t>σ</w:t>
      </w:r>
      <w:r w:rsidRPr="007F0A0D">
        <w:t>τις  €398.0</w:t>
      </w:r>
      <w:r w:rsidR="00685C01" w:rsidRPr="00685C01">
        <w:t>92</w:t>
      </w:r>
      <w:r w:rsidR="0094356E">
        <w:t>.  Τ</w:t>
      </w:r>
      <w:r w:rsidRPr="007F0A0D">
        <w:t xml:space="preserve">ο 2009 </w:t>
      </w:r>
      <w:r w:rsidR="0094356E">
        <w:t xml:space="preserve">η δαπάνη παρουσίασε σημαντική αύξηση φθάνοντας  τις </w:t>
      </w:r>
      <w:r w:rsidRPr="007F0A0D">
        <w:t>€</w:t>
      </w:r>
      <w:r w:rsidR="00685C01" w:rsidRPr="00685C01">
        <w:t>747</w:t>
      </w:r>
      <w:r w:rsidRPr="007F0A0D">
        <w:t>.</w:t>
      </w:r>
      <w:r w:rsidR="00685C01" w:rsidRPr="00685C01">
        <w:t>911</w:t>
      </w:r>
      <w:r w:rsidR="006B477A" w:rsidRPr="006B477A">
        <w:t xml:space="preserve">, </w:t>
      </w:r>
      <w:r w:rsidR="006B477A">
        <w:t xml:space="preserve"> τ</w:t>
      </w:r>
      <w:r w:rsidR="0094356E">
        <w:t>ο 2010</w:t>
      </w:r>
      <w:r w:rsidR="006B477A">
        <w:t xml:space="preserve"> στις </w:t>
      </w:r>
      <w:r w:rsidR="006B477A" w:rsidRPr="007F0A0D">
        <w:t>€</w:t>
      </w:r>
      <w:r w:rsidR="006B477A">
        <w:t>749.743</w:t>
      </w:r>
      <w:r w:rsidR="00796E29">
        <w:t>, το</w:t>
      </w:r>
      <w:r w:rsidR="006B477A">
        <w:t xml:space="preserve"> 2011 στις €999.864</w:t>
      </w:r>
      <w:r w:rsidR="00796E29">
        <w:t xml:space="preserve"> και το 2012 η δαπάνη ανήλθε στις </w:t>
      </w:r>
      <w:r w:rsidR="00796E29" w:rsidRPr="007F0A0D">
        <w:t>€</w:t>
      </w:r>
      <w:r w:rsidR="00796E29">
        <w:t>827.950</w:t>
      </w:r>
      <w:r w:rsidR="0044519C">
        <w:t>.</w:t>
      </w:r>
    </w:p>
    <w:p w:rsidR="00532DDE" w:rsidRDefault="00532DDE" w:rsidP="003C02BD">
      <w:pPr>
        <w:pStyle w:val="Heading3"/>
      </w:pPr>
      <w:bookmarkStart w:id="131" w:name="_Toc383086841"/>
      <w:r w:rsidRPr="00FA35BC">
        <w:t>Μεταστέγαση των Κεντρικών Γραφείων των Φαρμακευτικών Υπηρεσιών</w:t>
      </w:r>
      <w:bookmarkEnd w:id="131"/>
      <w:r w:rsidRPr="00FA35BC">
        <w:t xml:space="preserve"> </w:t>
      </w:r>
      <w:r>
        <w:t xml:space="preserve"> </w:t>
      </w:r>
    </w:p>
    <w:p w:rsidR="00532DDE" w:rsidRDefault="00532DDE" w:rsidP="00532DDE">
      <w:pPr>
        <w:spacing w:before="120" w:after="0"/>
      </w:pPr>
      <w:r>
        <w:t xml:space="preserve">Τον Σεπτέμβριο του 2012 ολοκληρώθηκε η μεταστέγαση των κεντρικών γραφείων των Φαρμακευτικών Υπηρεσιών. Οι νέες εγκαταστάσεις αποτελούν ανακατασκευή του κτηρίου όπου στεγαζόταν το Φαρμακευτικό Εργαστήριο. </w:t>
      </w:r>
    </w:p>
    <w:p w:rsidR="00532DDE" w:rsidRDefault="00532DDE" w:rsidP="003C02BD">
      <w:pPr>
        <w:pStyle w:val="Heading3"/>
      </w:pPr>
      <w:bookmarkStart w:id="132" w:name="_Toc383086842"/>
      <w:r>
        <w:t>Ομάδες εργασίας</w:t>
      </w:r>
      <w:r w:rsidRPr="00FA35BC">
        <w:t xml:space="preserve"> </w:t>
      </w:r>
      <w:r>
        <w:t xml:space="preserve"> για την </w:t>
      </w:r>
      <w:r w:rsidRPr="00B3589E">
        <w:t xml:space="preserve"> ανάληψη της Προεδρίας του Συμβουλίου της Ευρώπης </w:t>
      </w:r>
      <w:r>
        <w:t>.</w:t>
      </w:r>
      <w:bookmarkEnd w:id="132"/>
      <w:r>
        <w:t xml:space="preserve"> </w:t>
      </w:r>
    </w:p>
    <w:p w:rsidR="00532DDE" w:rsidRPr="006D04AF" w:rsidRDefault="00532DDE" w:rsidP="00532DDE">
      <w:pPr>
        <w:spacing w:before="240" w:after="0"/>
        <w:rPr>
          <w:bCs/>
          <w:iCs/>
        </w:rPr>
      </w:pPr>
      <w:r w:rsidRPr="006D04AF">
        <w:rPr>
          <w:bCs/>
          <w:iCs/>
        </w:rPr>
        <w:t>Στις 7 Ιουλίου 2012 η Κύπρος ανέλαβε τη Προεδρία του Συμβουλίου της Ευρωπαϊκής Ένωσης για διάστημα 6 μηνών. Οι φαρμακευτικές Υπηρεσίες ανέλαβαν να προεδρεύσουν των Ομάδων Εργασίας του Συμβουλίου Φαρμακευτικών Προϊόντων. Λειτουργοί των Φαρμακευτικών Υπηρεσιών προέδρευσαν των εννέα συναντήσεων της Ομάδας Εργασίας του Συμβουλίου "Pharmaceuticals and Medical Devices" που πραγματοποιήθηκαν στις Βρυξέλλες και αφορούσαν τροποποιήσεις νομοθετικών προτάσεων. Κατά τη διάρκεια της Κυπριακής Προεδρίας συζητήθηκαν στις Ομάδες Εργασίας του Συμβουλίου δύο πολύ σημαντικές προτάσεις που αφορούσαν τη Διαφάνεια στην τιμολόγηση των φαρμάκων και την κάλυψη από τα δημόσια συστήματα υγείας και τις Κλινικές Δοκιμές</w:t>
      </w:r>
    </w:p>
    <w:p w:rsidR="00532DDE" w:rsidRPr="006D04AF" w:rsidRDefault="00532DDE" w:rsidP="00532DDE">
      <w:pPr>
        <w:spacing w:before="240" w:after="0"/>
        <w:rPr>
          <w:bCs/>
          <w:iCs/>
        </w:rPr>
      </w:pPr>
      <w:r w:rsidRPr="006D04AF">
        <w:rPr>
          <w:bCs/>
          <w:iCs/>
        </w:rPr>
        <w:t>Παράλληλα, οι Φαρμακευτικές Υπηρεσίες διοργάνωσαν και πραγματοποίησαν 7 συναντήσεις στην Κύπρο (επιτροπές και ομάδες εργασίας του  EMA- European Medicines Agency και του HMA</w:t>
      </w:r>
      <w:r>
        <w:rPr>
          <w:bCs/>
          <w:iCs/>
        </w:rPr>
        <w:t xml:space="preserve"> – Head of Medicines Agencies).</w:t>
      </w:r>
    </w:p>
    <w:p w:rsidR="00532DDE" w:rsidRPr="006D04AF" w:rsidRDefault="00532DDE" w:rsidP="00532DDE">
      <w:pPr>
        <w:spacing w:before="240" w:after="0"/>
      </w:pPr>
      <w:r w:rsidRPr="006D04AF">
        <w:rPr>
          <w:bCs/>
          <w:iCs/>
        </w:rPr>
        <w:t>Όλες οι δραστηριότητες των Φαρμακευτικών Υπηρεσιών στέφθηκαν με πλήρη επιτυχία και άφησαν  τις καλύτερες εντυπώσεις στους Ευρωπαίους ομόλογους μας.</w:t>
      </w:r>
    </w:p>
    <w:p w:rsidR="00532DDE" w:rsidRPr="00532DDE" w:rsidRDefault="00532DDE" w:rsidP="007F0A0D">
      <w:pPr>
        <w:spacing w:after="100" w:afterAutospacing="1"/>
      </w:pPr>
    </w:p>
    <w:p w:rsidR="00A358F4" w:rsidRDefault="00B73966" w:rsidP="003C02BD">
      <w:pPr>
        <w:pStyle w:val="Heading2"/>
      </w:pPr>
      <w:bookmarkStart w:id="133" w:name="_Toc383086843"/>
      <w:r>
        <w:t>Νέοι στόχοι</w:t>
      </w:r>
      <w:bookmarkEnd w:id="133"/>
      <w:r>
        <w:t xml:space="preserve"> </w:t>
      </w:r>
    </w:p>
    <w:p w:rsidR="003C02BD" w:rsidRPr="003C02BD" w:rsidRDefault="003C02BD" w:rsidP="003C02BD">
      <w:pPr>
        <w:pStyle w:val="ListParagraph"/>
        <w:keepNext/>
        <w:pageBreakBefore/>
        <w:numPr>
          <w:ilvl w:val="1"/>
          <w:numId w:val="44"/>
        </w:numPr>
        <w:spacing w:before="240" w:after="240"/>
        <w:contextualSpacing w:val="0"/>
        <w:jc w:val="center"/>
        <w:outlineLvl w:val="0"/>
        <w:rPr>
          <w:rFonts w:ascii="Arial" w:hAnsi="Arial" w:cs="Arial"/>
          <w:b/>
          <w:bCs/>
          <w:vanish/>
          <w:color w:val="FF0000"/>
          <w:kern w:val="32"/>
          <w:sz w:val="32"/>
          <w:szCs w:val="32"/>
          <w:lang w:val="el-GR" w:eastAsia="el-GR"/>
        </w:rPr>
      </w:pPr>
      <w:bookmarkStart w:id="134" w:name="_Toc383085511"/>
      <w:bookmarkStart w:id="135" w:name="_Toc383086281"/>
      <w:bookmarkStart w:id="136" w:name="_Toc383086844"/>
      <w:bookmarkEnd w:id="134"/>
      <w:bookmarkEnd w:id="135"/>
      <w:bookmarkEnd w:id="136"/>
    </w:p>
    <w:p w:rsidR="00A358F4" w:rsidRDefault="00B73966" w:rsidP="003C02BD">
      <w:pPr>
        <w:pStyle w:val="Heading3"/>
      </w:pPr>
      <w:bookmarkStart w:id="137" w:name="_Toc383086845"/>
      <w:r>
        <w:t>Μετεξέλιξη των Φαρμακευτικών Υπηρεσιών</w:t>
      </w:r>
      <w:bookmarkEnd w:id="137"/>
    </w:p>
    <w:p w:rsidR="00B73966" w:rsidRDefault="00B73966">
      <w:pPr>
        <w:pStyle w:val="NormalWeb"/>
        <w:spacing w:after="0" w:afterAutospacing="0"/>
        <w:jc w:val="both"/>
        <w:rPr>
          <w:rFonts w:ascii="Times New Roman" w:hAnsi="Times New Roman" w:cs="Times New Roman"/>
          <w:lang w:val="el-GR"/>
        </w:rPr>
      </w:pPr>
      <w:r>
        <w:rPr>
          <w:rFonts w:ascii="Times New Roman" w:hAnsi="Times New Roman" w:cs="Times New Roman"/>
          <w:lang w:val="el-GR"/>
        </w:rPr>
        <w:t>Με την</w:t>
      </w:r>
      <w:r w:rsidR="00C17044">
        <w:rPr>
          <w:rFonts w:ascii="Times New Roman" w:hAnsi="Times New Roman" w:cs="Times New Roman"/>
          <w:lang w:val="el-GR"/>
        </w:rPr>
        <w:t xml:space="preserve"> επικείμενη</w:t>
      </w:r>
      <w:r>
        <w:rPr>
          <w:rFonts w:ascii="Times New Roman" w:hAnsi="Times New Roman" w:cs="Times New Roman"/>
          <w:lang w:val="el-GR"/>
        </w:rPr>
        <w:t xml:space="preserve"> εφαρμογή του ΓεΣΥ</w:t>
      </w:r>
      <w:r w:rsidR="00C17044">
        <w:rPr>
          <w:rFonts w:ascii="Times New Roman" w:hAnsi="Times New Roman" w:cs="Times New Roman"/>
          <w:lang w:val="el-GR"/>
        </w:rPr>
        <w:t xml:space="preserve"> επιβάλλεται</w:t>
      </w:r>
      <w:r>
        <w:rPr>
          <w:rFonts w:ascii="Times New Roman" w:hAnsi="Times New Roman" w:cs="Times New Roman"/>
          <w:lang w:val="el-GR"/>
        </w:rPr>
        <w:t xml:space="preserve"> η αναβάθμιση των Φαρμακευτικών Υπηρεσιών όσο και η αλλαγή του ρόλου τους. Η μετεξέλιξη των Φαρμακευτικών Υπηρεσιών και ο νέος ρόλος που θα διαδραματίζουν βρίσκεται ήδη υπό μελέτη. </w:t>
      </w:r>
    </w:p>
    <w:sectPr w:rsidR="00B73966" w:rsidSect="00D706E2">
      <w:footerReference w:type="default" r:id="rId2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F5" w:rsidRDefault="004C6DF5">
      <w:pPr>
        <w:spacing w:after="0"/>
      </w:pPr>
      <w:r>
        <w:separator/>
      </w:r>
    </w:p>
  </w:endnote>
  <w:endnote w:type="continuationSeparator" w:id="0">
    <w:p w:rsidR="004C6DF5" w:rsidRDefault="004C6D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810609"/>
      <w:docPartObj>
        <w:docPartGallery w:val="Page Numbers (Bottom of Page)"/>
        <w:docPartUnique/>
      </w:docPartObj>
    </w:sdtPr>
    <w:sdtEndPr>
      <w:rPr>
        <w:noProof/>
      </w:rPr>
    </w:sdtEndPr>
    <w:sdtContent>
      <w:p w:rsidR="00D706E2" w:rsidRDefault="00774D0A">
        <w:pPr>
          <w:pStyle w:val="Footer"/>
          <w:jc w:val="center"/>
        </w:pPr>
        <w:r>
          <w:fldChar w:fldCharType="begin"/>
        </w:r>
        <w:r w:rsidR="00D706E2">
          <w:instrText xml:space="preserve"> PAGE   \* MERGEFORMAT </w:instrText>
        </w:r>
        <w:r>
          <w:fldChar w:fldCharType="separate"/>
        </w:r>
        <w:r w:rsidR="00787EAF">
          <w:rPr>
            <w:noProof/>
          </w:rPr>
          <w:t>4</w:t>
        </w:r>
        <w:r>
          <w:rPr>
            <w:noProof/>
          </w:rPr>
          <w:fldChar w:fldCharType="end"/>
        </w:r>
      </w:p>
    </w:sdtContent>
  </w:sdt>
  <w:p w:rsidR="00D706E2" w:rsidRDefault="00D70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F5" w:rsidRDefault="004C6DF5">
      <w:pPr>
        <w:spacing w:after="0"/>
      </w:pPr>
      <w:r>
        <w:separator/>
      </w:r>
    </w:p>
  </w:footnote>
  <w:footnote w:type="continuationSeparator" w:id="0">
    <w:p w:rsidR="004C6DF5" w:rsidRDefault="004C6DF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DB9"/>
    <w:multiLevelType w:val="hybridMultilevel"/>
    <w:tmpl w:val="A5763992"/>
    <w:lvl w:ilvl="0" w:tplc="07C8FD18">
      <w:start w:val="1"/>
      <w:numFmt w:val="bullet"/>
      <w:lvlText w:val=""/>
      <w:lvlJc w:val="left"/>
      <w:pPr>
        <w:tabs>
          <w:tab w:val="num" w:pos="720"/>
        </w:tabs>
        <w:ind w:left="720" w:hanging="360"/>
      </w:pPr>
      <w:rPr>
        <w:rFonts w:ascii="Symbol" w:hAnsi="Symbol" w:hint="default"/>
      </w:rPr>
    </w:lvl>
    <w:lvl w:ilvl="1" w:tplc="16700420" w:tentative="1">
      <w:start w:val="1"/>
      <w:numFmt w:val="lowerLetter"/>
      <w:lvlText w:val="%2."/>
      <w:lvlJc w:val="left"/>
      <w:pPr>
        <w:tabs>
          <w:tab w:val="num" w:pos="1440"/>
        </w:tabs>
        <w:ind w:left="1440" w:hanging="360"/>
      </w:pPr>
    </w:lvl>
    <w:lvl w:ilvl="2" w:tplc="83E424C6" w:tentative="1">
      <w:start w:val="1"/>
      <w:numFmt w:val="lowerRoman"/>
      <w:lvlText w:val="%3."/>
      <w:lvlJc w:val="right"/>
      <w:pPr>
        <w:tabs>
          <w:tab w:val="num" w:pos="2160"/>
        </w:tabs>
        <w:ind w:left="2160" w:hanging="180"/>
      </w:pPr>
    </w:lvl>
    <w:lvl w:ilvl="3" w:tplc="42B69DB2" w:tentative="1">
      <w:start w:val="1"/>
      <w:numFmt w:val="decimal"/>
      <w:lvlText w:val="%4."/>
      <w:lvlJc w:val="left"/>
      <w:pPr>
        <w:tabs>
          <w:tab w:val="num" w:pos="2880"/>
        </w:tabs>
        <w:ind w:left="2880" w:hanging="360"/>
      </w:pPr>
    </w:lvl>
    <w:lvl w:ilvl="4" w:tplc="3EACC90A" w:tentative="1">
      <w:start w:val="1"/>
      <w:numFmt w:val="lowerLetter"/>
      <w:lvlText w:val="%5."/>
      <w:lvlJc w:val="left"/>
      <w:pPr>
        <w:tabs>
          <w:tab w:val="num" w:pos="3600"/>
        </w:tabs>
        <w:ind w:left="3600" w:hanging="360"/>
      </w:pPr>
    </w:lvl>
    <w:lvl w:ilvl="5" w:tplc="2F02B066" w:tentative="1">
      <w:start w:val="1"/>
      <w:numFmt w:val="lowerRoman"/>
      <w:lvlText w:val="%6."/>
      <w:lvlJc w:val="right"/>
      <w:pPr>
        <w:tabs>
          <w:tab w:val="num" w:pos="4320"/>
        </w:tabs>
        <w:ind w:left="4320" w:hanging="180"/>
      </w:pPr>
    </w:lvl>
    <w:lvl w:ilvl="6" w:tplc="E448206E" w:tentative="1">
      <w:start w:val="1"/>
      <w:numFmt w:val="decimal"/>
      <w:lvlText w:val="%7."/>
      <w:lvlJc w:val="left"/>
      <w:pPr>
        <w:tabs>
          <w:tab w:val="num" w:pos="5040"/>
        </w:tabs>
        <w:ind w:left="5040" w:hanging="360"/>
      </w:pPr>
    </w:lvl>
    <w:lvl w:ilvl="7" w:tplc="A0E294E4" w:tentative="1">
      <w:start w:val="1"/>
      <w:numFmt w:val="lowerLetter"/>
      <w:lvlText w:val="%8."/>
      <w:lvlJc w:val="left"/>
      <w:pPr>
        <w:tabs>
          <w:tab w:val="num" w:pos="5760"/>
        </w:tabs>
        <w:ind w:left="5760" w:hanging="360"/>
      </w:pPr>
    </w:lvl>
    <w:lvl w:ilvl="8" w:tplc="67C0A57E" w:tentative="1">
      <w:start w:val="1"/>
      <w:numFmt w:val="lowerRoman"/>
      <w:lvlText w:val="%9."/>
      <w:lvlJc w:val="right"/>
      <w:pPr>
        <w:tabs>
          <w:tab w:val="num" w:pos="6480"/>
        </w:tabs>
        <w:ind w:left="6480" w:hanging="180"/>
      </w:pPr>
    </w:lvl>
  </w:abstractNum>
  <w:abstractNum w:abstractNumId="1">
    <w:nsid w:val="03E877C6"/>
    <w:multiLevelType w:val="hybridMultilevel"/>
    <w:tmpl w:val="5556363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
    <w:nsid w:val="069B22EE"/>
    <w:multiLevelType w:val="hybridMultilevel"/>
    <w:tmpl w:val="B73E32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2C70"/>
    <w:multiLevelType w:val="hybridMultilevel"/>
    <w:tmpl w:val="9E549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3A74D1"/>
    <w:multiLevelType w:val="hybridMultilevel"/>
    <w:tmpl w:val="8A1CD96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
    <w:nsid w:val="1237074F"/>
    <w:multiLevelType w:val="hybridMultilevel"/>
    <w:tmpl w:val="3112D39C"/>
    <w:lvl w:ilvl="0" w:tplc="0408000F">
      <w:start w:val="1"/>
      <w:numFmt w:val="lowerRoman"/>
      <w:lvlText w:val="%1."/>
      <w:lvlJc w:val="right"/>
      <w:pPr>
        <w:tabs>
          <w:tab w:val="num" w:pos="720"/>
        </w:tabs>
        <w:ind w:left="720" w:hanging="360"/>
      </w:pPr>
    </w:lvl>
    <w:lvl w:ilvl="1" w:tplc="04080019">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71064D"/>
    <w:multiLevelType w:val="hybridMultilevel"/>
    <w:tmpl w:val="C0D89A42"/>
    <w:lvl w:ilvl="0" w:tplc="0409001B">
      <w:start w:val="8"/>
      <w:numFmt w:val="bullet"/>
      <w:pStyle w:val="ListBullet"/>
      <w:lvlText w:val=""/>
      <w:lvlJc w:val="left"/>
      <w:pPr>
        <w:tabs>
          <w:tab w:val="num" w:pos="454"/>
        </w:tabs>
        <w:ind w:left="454" w:hanging="454"/>
      </w:pPr>
      <w:rPr>
        <w:rFonts w:ascii="Wingdings" w:hAnsi="Wingdings" w:hint="default"/>
      </w:rPr>
    </w:lvl>
    <w:lvl w:ilvl="1" w:tplc="66E25B4A">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C580E83"/>
    <w:multiLevelType w:val="hybridMultilevel"/>
    <w:tmpl w:val="C14E4462"/>
    <w:lvl w:ilvl="0" w:tplc="72B040E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
    <w:nsid w:val="1D8D59A1"/>
    <w:multiLevelType w:val="hybridMultilevel"/>
    <w:tmpl w:val="732846CC"/>
    <w:lvl w:ilvl="0" w:tplc="B4E8DCBA">
      <w:start w:val="1"/>
      <w:numFmt w:val="lowerRoman"/>
      <w:lvlText w:val="(%1)"/>
      <w:lvlJc w:val="left"/>
      <w:pPr>
        <w:tabs>
          <w:tab w:val="num" w:pos="1080"/>
        </w:tabs>
        <w:ind w:left="1080" w:hanging="360"/>
      </w:pPr>
      <w:rPr>
        <w:rFonts w:hint="default"/>
        <w:b w:val="0"/>
        <w:i w:val="0"/>
        <w:sz w:val="24"/>
        <w:szCs w:val="24"/>
      </w:rPr>
    </w:lvl>
    <w:lvl w:ilvl="1" w:tplc="6D92D798" w:tentative="1">
      <w:start w:val="1"/>
      <w:numFmt w:val="lowerLetter"/>
      <w:lvlText w:val="%2."/>
      <w:lvlJc w:val="left"/>
      <w:pPr>
        <w:tabs>
          <w:tab w:val="num" w:pos="1080"/>
        </w:tabs>
        <w:ind w:left="1080" w:hanging="360"/>
      </w:pPr>
    </w:lvl>
    <w:lvl w:ilvl="2" w:tplc="788AC2F6" w:tentative="1">
      <w:start w:val="1"/>
      <w:numFmt w:val="lowerRoman"/>
      <w:lvlText w:val="%3."/>
      <w:lvlJc w:val="right"/>
      <w:pPr>
        <w:tabs>
          <w:tab w:val="num" w:pos="1800"/>
        </w:tabs>
        <w:ind w:left="1800" w:hanging="180"/>
      </w:pPr>
    </w:lvl>
    <w:lvl w:ilvl="3" w:tplc="DD22DB5A" w:tentative="1">
      <w:start w:val="1"/>
      <w:numFmt w:val="decimal"/>
      <w:lvlText w:val="%4."/>
      <w:lvlJc w:val="left"/>
      <w:pPr>
        <w:tabs>
          <w:tab w:val="num" w:pos="2520"/>
        </w:tabs>
        <w:ind w:left="2520" w:hanging="360"/>
      </w:pPr>
    </w:lvl>
    <w:lvl w:ilvl="4" w:tplc="A0A0A4F6" w:tentative="1">
      <w:start w:val="1"/>
      <w:numFmt w:val="lowerLetter"/>
      <w:lvlText w:val="%5."/>
      <w:lvlJc w:val="left"/>
      <w:pPr>
        <w:tabs>
          <w:tab w:val="num" w:pos="3240"/>
        </w:tabs>
        <w:ind w:left="3240" w:hanging="360"/>
      </w:pPr>
    </w:lvl>
    <w:lvl w:ilvl="5" w:tplc="0D2EF4C4" w:tentative="1">
      <w:start w:val="1"/>
      <w:numFmt w:val="lowerRoman"/>
      <w:lvlText w:val="%6."/>
      <w:lvlJc w:val="right"/>
      <w:pPr>
        <w:tabs>
          <w:tab w:val="num" w:pos="3960"/>
        </w:tabs>
        <w:ind w:left="3960" w:hanging="180"/>
      </w:pPr>
    </w:lvl>
    <w:lvl w:ilvl="6" w:tplc="870E8968" w:tentative="1">
      <w:start w:val="1"/>
      <w:numFmt w:val="decimal"/>
      <w:lvlText w:val="%7."/>
      <w:lvlJc w:val="left"/>
      <w:pPr>
        <w:tabs>
          <w:tab w:val="num" w:pos="4680"/>
        </w:tabs>
        <w:ind w:left="4680" w:hanging="360"/>
      </w:pPr>
    </w:lvl>
    <w:lvl w:ilvl="7" w:tplc="E306FACA" w:tentative="1">
      <w:start w:val="1"/>
      <w:numFmt w:val="lowerLetter"/>
      <w:lvlText w:val="%8."/>
      <w:lvlJc w:val="left"/>
      <w:pPr>
        <w:tabs>
          <w:tab w:val="num" w:pos="5400"/>
        </w:tabs>
        <w:ind w:left="5400" w:hanging="360"/>
      </w:pPr>
    </w:lvl>
    <w:lvl w:ilvl="8" w:tplc="B0CCFE8E" w:tentative="1">
      <w:start w:val="1"/>
      <w:numFmt w:val="lowerRoman"/>
      <w:lvlText w:val="%9."/>
      <w:lvlJc w:val="right"/>
      <w:pPr>
        <w:tabs>
          <w:tab w:val="num" w:pos="6120"/>
        </w:tabs>
        <w:ind w:left="6120" w:hanging="180"/>
      </w:pPr>
    </w:lvl>
  </w:abstractNum>
  <w:abstractNum w:abstractNumId="9">
    <w:nsid w:val="1F1A55D3"/>
    <w:multiLevelType w:val="multilevel"/>
    <w:tmpl w:val="54909720"/>
    <w:lvl w:ilvl="0">
      <w:start w:val="1"/>
      <w:numFmt w:val="decimal"/>
      <w:lvlText w:val="%1"/>
      <w:lvlJc w:val="left"/>
      <w:pPr>
        <w:ind w:left="525" w:hanging="525"/>
      </w:pPr>
      <w:rPr>
        <w:rFonts w:hint="default"/>
        <w:b/>
        <w:i w:val="0"/>
        <w:sz w:val="28"/>
        <w:szCs w:val="28"/>
      </w:rPr>
    </w:lvl>
    <w:lvl w:ilvl="1">
      <w:start w:val="1"/>
      <w:numFmt w:val="decimal"/>
      <w:lvlText w:val="%1.%2"/>
      <w:lvlJc w:val="left"/>
      <w:pPr>
        <w:ind w:left="705" w:hanging="5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86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23911B5B"/>
    <w:multiLevelType w:val="multilevel"/>
    <w:tmpl w:val="A8322624"/>
    <w:lvl w:ilvl="0">
      <w:start w:val="1"/>
      <w:numFmt w:val="decimal"/>
      <w:pStyle w:val="Heading1"/>
      <w:lvlText w:val="%1."/>
      <w:lvlJc w:val="left"/>
      <w:pPr>
        <w:tabs>
          <w:tab w:val="num" w:pos="567"/>
        </w:tabs>
        <w:ind w:left="567" w:hanging="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cs="Arial" w:hint="default"/>
        <w:b/>
        <w:i w:val="0"/>
        <w:sz w:val="28"/>
        <w:szCs w:val="28"/>
      </w:rPr>
    </w:lvl>
    <w:lvl w:ilvl="2">
      <w:start w:val="1"/>
      <w:numFmt w:val="decimal"/>
      <w:pStyle w:val="Heading3"/>
      <w:lvlText w:val="%1.%2.%3."/>
      <w:lvlJc w:val="left"/>
      <w:pPr>
        <w:tabs>
          <w:tab w:val="num" w:pos="822"/>
        </w:tabs>
        <w:ind w:left="822" w:hanging="680"/>
      </w:pPr>
      <w:rPr>
        <w:rFonts w:ascii="Arial" w:hAnsi="Arial" w:cs="Arial" w:hint="default"/>
        <w:b/>
        <w:i w:val="0"/>
        <w:sz w:val="24"/>
        <w:szCs w:val="24"/>
      </w:rPr>
    </w:lvl>
    <w:lvl w:ilvl="3">
      <w:start w:val="1"/>
      <w:numFmt w:val="decimal"/>
      <w:pStyle w:val="Heading4"/>
      <w:lvlText w:val="%1.%2.%3.%4"/>
      <w:lvlJc w:val="left"/>
      <w:pPr>
        <w:tabs>
          <w:tab w:val="num" w:pos="680"/>
        </w:tabs>
        <w:ind w:left="680" w:hanging="680"/>
      </w:pPr>
      <w:rPr>
        <w:rFonts w:hint="default"/>
      </w:rPr>
    </w:lvl>
    <w:lvl w:ilvl="4">
      <w:start w:val="1"/>
      <w:numFmt w:val="bullet"/>
      <w:lvlText w:val=""/>
      <w:lvlJc w:val="left"/>
      <w:pPr>
        <w:tabs>
          <w:tab w:val="num" w:pos="1548"/>
        </w:tabs>
        <w:ind w:left="1548" w:hanging="1008"/>
      </w:pPr>
      <w:rPr>
        <w:rFonts w:ascii="Wingdings" w:hAnsi="Wingdings" w:hint="default"/>
      </w:rPr>
    </w:lvl>
    <w:lvl w:ilvl="5">
      <w:start w:val="1"/>
      <w:numFmt w:val="none"/>
      <w:lvlText w:val=""/>
      <w:lvlJc w:val="left"/>
      <w:pPr>
        <w:tabs>
          <w:tab w:val="num" w:pos="1692"/>
        </w:tabs>
        <w:ind w:left="1692" w:hanging="1152"/>
      </w:pPr>
      <w:rPr>
        <w:rFonts w:hint="default"/>
      </w:rPr>
    </w:lvl>
    <w:lvl w:ilvl="6">
      <w:start w:val="1"/>
      <w:numFmt w:val="none"/>
      <w:lvlText w:val=""/>
      <w:lvlJc w:val="left"/>
      <w:pPr>
        <w:tabs>
          <w:tab w:val="num" w:pos="1836"/>
        </w:tabs>
        <w:ind w:left="1836" w:hanging="1296"/>
      </w:pPr>
      <w:rPr>
        <w:rFonts w:hint="default"/>
      </w:rPr>
    </w:lvl>
    <w:lvl w:ilvl="7">
      <w:start w:val="1"/>
      <w:numFmt w:val="none"/>
      <w:lvlText w:val=""/>
      <w:lvlJc w:val="left"/>
      <w:pPr>
        <w:tabs>
          <w:tab w:val="num" w:pos="1980"/>
        </w:tabs>
        <w:ind w:left="1980" w:hanging="1440"/>
      </w:pPr>
      <w:rPr>
        <w:rFonts w:hint="default"/>
      </w:rPr>
    </w:lvl>
    <w:lvl w:ilvl="8">
      <w:start w:val="1"/>
      <w:numFmt w:val="none"/>
      <w:lvlText w:val=""/>
      <w:lvlJc w:val="left"/>
      <w:pPr>
        <w:tabs>
          <w:tab w:val="num" w:pos="2124"/>
        </w:tabs>
        <w:ind w:left="2124" w:hanging="1584"/>
      </w:pPr>
      <w:rPr>
        <w:rFonts w:hint="default"/>
      </w:rPr>
    </w:lvl>
  </w:abstractNum>
  <w:abstractNum w:abstractNumId="11">
    <w:nsid w:val="26C33055"/>
    <w:multiLevelType w:val="hybridMultilevel"/>
    <w:tmpl w:val="C856019C"/>
    <w:lvl w:ilvl="0" w:tplc="FEB0730E">
      <w:start w:val="1"/>
      <w:numFmt w:val="bullet"/>
      <w:lvlText w:val=""/>
      <w:lvlJc w:val="left"/>
      <w:pPr>
        <w:ind w:left="720" w:hanging="360"/>
      </w:pPr>
      <w:rPr>
        <w:rFonts w:ascii="Wingdings" w:hAnsi="Wingdings" w:hint="default"/>
      </w:rPr>
    </w:lvl>
    <w:lvl w:ilvl="1" w:tplc="5A4A5C58" w:tentative="1">
      <w:start w:val="1"/>
      <w:numFmt w:val="bullet"/>
      <w:lvlText w:val="o"/>
      <w:lvlJc w:val="left"/>
      <w:pPr>
        <w:ind w:left="1440" w:hanging="360"/>
      </w:pPr>
      <w:rPr>
        <w:rFonts w:ascii="Courier New" w:hAnsi="Courier New" w:cs="Courier New" w:hint="default"/>
      </w:rPr>
    </w:lvl>
    <w:lvl w:ilvl="2" w:tplc="F94EB85A" w:tentative="1">
      <w:start w:val="1"/>
      <w:numFmt w:val="bullet"/>
      <w:lvlText w:val=""/>
      <w:lvlJc w:val="left"/>
      <w:pPr>
        <w:ind w:left="2160" w:hanging="360"/>
      </w:pPr>
      <w:rPr>
        <w:rFonts w:ascii="Wingdings" w:hAnsi="Wingdings" w:hint="default"/>
      </w:rPr>
    </w:lvl>
    <w:lvl w:ilvl="3" w:tplc="CA06BBE6" w:tentative="1">
      <w:start w:val="1"/>
      <w:numFmt w:val="bullet"/>
      <w:lvlText w:val=""/>
      <w:lvlJc w:val="left"/>
      <w:pPr>
        <w:ind w:left="2880" w:hanging="360"/>
      </w:pPr>
      <w:rPr>
        <w:rFonts w:ascii="Symbol" w:hAnsi="Symbol" w:hint="default"/>
      </w:rPr>
    </w:lvl>
    <w:lvl w:ilvl="4" w:tplc="D5EE9024" w:tentative="1">
      <w:start w:val="1"/>
      <w:numFmt w:val="bullet"/>
      <w:lvlText w:val="o"/>
      <w:lvlJc w:val="left"/>
      <w:pPr>
        <w:ind w:left="3600" w:hanging="360"/>
      </w:pPr>
      <w:rPr>
        <w:rFonts w:ascii="Courier New" w:hAnsi="Courier New" w:cs="Courier New" w:hint="default"/>
      </w:rPr>
    </w:lvl>
    <w:lvl w:ilvl="5" w:tplc="50B6BD8A" w:tentative="1">
      <w:start w:val="1"/>
      <w:numFmt w:val="bullet"/>
      <w:lvlText w:val=""/>
      <w:lvlJc w:val="left"/>
      <w:pPr>
        <w:ind w:left="4320" w:hanging="360"/>
      </w:pPr>
      <w:rPr>
        <w:rFonts w:ascii="Wingdings" w:hAnsi="Wingdings" w:hint="default"/>
      </w:rPr>
    </w:lvl>
    <w:lvl w:ilvl="6" w:tplc="D7820E32" w:tentative="1">
      <w:start w:val="1"/>
      <w:numFmt w:val="bullet"/>
      <w:lvlText w:val=""/>
      <w:lvlJc w:val="left"/>
      <w:pPr>
        <w:ind w:left="5040" w:hanging="360"/>
      </w:pPr>
      <w:rPr>
        <w:rFonts w:ascii="Symbol" w:hAnsi="Symbol" w:hint="default"/>
      </w:rPr>
    </w:lvl>
    <w:lvl w:ilvl="7" w:tplc="E4A0531E" w:tentative="1">
      <w:start w:val="1"/>
      <w:numFmt w:val="bullet"/>
      <w:lvlText w:val="o"/>
      <w:lvlJc w:val="left"/>
      <w:pPr>
        <w:ind w:left="5760" w:hanging="360"/>
      </w:pPr>
      <w:rPr>
        <w:rFonts w:ascii="Courier New" w:hAnsi="Courier New" w:cs="Courier New" w:hint="default"/>
      </w:rPr>
    </w:lvl>
    <w:lvl w:ilvl="8" w:tplc="F54E5FC2" w:tentative="1">
      <w:start w:val="1"/>
      <w:numFmt w:val="bullet"/>
      <w:lvlText w:val=""/>
      <w:lvlJc w:val="left"/>
      <w:pPr>
        <w:ind w:left="6480" w:hanging="360"/>
      </w:pPr>
      <w:rPr>
        <w:rFonts w:ascii="Wingdings" w:hAnsi="Wingdings" w:hint="default"/>
      </w:rPr>
    </w:lvl>
  </w:abstractNum>
  <w:abstractNum w:abstractNumId="12">
    <w:nsid w:val="27785B52"/>
    <w:multiLevelType w:val="hybridMultilevel"/>
    <w:tmpl w:val="25BCF87A"/>
    <w:lvl w:ilvl="0" w:tplc="0F462D74">
      <w:start w:val="1"/>
      <w:numFmt w:val="bullet"/>
      <w:lvlText w:val=""/>
      <w:lvlJc w:val="left"/>
      <w:pPr>
        <w:ind w:left="720" w:hanging="360"/>
      </w:pPr>
      <w:rPr>
        <w:rFonts w:ascii="Symbol" w:hAnsi="Symbol" w:hint="default"/>
      </w:rPr>
    </w:lvl>
    <w:lvl w:ilvl="1" w:tplc="0EF87CE4">
      <w:start w:val="1"/>
      <w:numFmt w:val="bullet"/>
      <w:lvlText w:val="o"/>
      <w:lvlJc w:val="left"/>
      <w:pPr>
        <w:ind w:left="1440" w:hanging="360"/>
      </w:pPr>
      <w:rPr>
        <w:rFonts w:ascii="Courier New" w:hAnsi="Courier New" w:cs="Courier New" w:hint="default"/>
      </w:rPr>
    </w:lvl>
    <w:lvl w:ilvl="2" w:tplc="97200B92">
      <w:start w:val="1"/>
      <w:numFmt w:val="bullet"/>
      <w:lvlText w:val=""/>
      <w:lvlJc w:val="left"/>
      <w:pPr>
        <w:ind w:left="2160" w:hanging="360"/>
      </w:pPr>
      <w:rPr>
        <w:rFonts w:ascii="Wingdings" w:hAnsi="Wingdings" w:hint="default"/>
      </w:rPr>
    </w:lvl>
    <w:lvl w:ilvl="3" w:tplc="4C7A764A">
      <w:start w:val="1"/>
      <w:numFmt w:val="bullet"/>
      <w:lvlText w:val=""/>
      <w:lvlJc w:val="left"/>
      <w:pPr>
        <w:ind w:left="2880" w:hanging="360"/>
      </w:pPr>
      <w:rPr>
        <w:rFonts w:ascii="Symbol" w:hAnsi="Symbol" w:hint="default"/>
      </w:rPr>
    </w:lvl>
    <w:lvl w:ilvl="4" w:tplc="8AC8A570">
      <w:start w:val="1"/>
      <w:numFmt w:val="bullet"/>
      <w:lvlText w:val="o"/>
      <w:lvlJc w:val="left"/>
      <w:pPr>
        <w:ind w:left="3600" w:hanging="360"/>
      </w:pPr>
      <w:rPr>
        <w:rFonts w:ascii="Courier New" w:hAnsi="Courier New" w:cs="Courier New" w:hint="default"/>
      </w:rPr>
    </w:lvl>
    <w:lvl w:ilvl="5" w:tplc="53C63CD8">
      <w:start w:val="1"/>
      <w:numFmt w:val="bullet"/>
      <w:lvlText w:val=""/>
      <w:lvlJc w:val="left"/>
      <w:pPr>
        <w:ind w:left="4320" w:hanging="360"/>
      </w:pPr>
      <w:rPr>
        <w:rFonts w:ascii="Wingdings" w:hAnsi="Wingdings" w:hint="default"/>
      </w:rPr>
    </w:lvl>
    <w:lvl w:ilvl="6" w:tplc="93243F7E">
      <w:start w:val="1"/>
      <w:numFmt w:val="bullet"/>
      <w:lvlText w:val=""/>
      <w:lvlJc w:val="left"/>
      <w:pPr>
        <w:ind w:left="5040" w:hanging="360"/>
      </w:pPr>
      <w:rPr>
        <w:rFonts w:ascii="Symbol" w:hAnsi="Symbol" w:hint="default"/>
      </w:rPr>
    </w:lvl>
    <w:lvl w:ilvl="7" w:tplc="507AD75E">
      <w:start w:val="1"/>
      <w:numFmt w:val="bullet"/>
      <w:lvlText w:val="o"/>
      <w:lvlJc w:val="left"/>
      <w:pPr>
        <w:ind w:left="5760" w:hanging="360"/>
      </w:pPr>
      <w:rPr>
        <w:rFonts w:ascii="Courier New" w:hAnsi="Courier New" w:cs="Courier New" w:hint="default"/>
      </w:rPr>
    </w:lvl>
    <w:lvl w:ilvl="8" w:tplc="C6764454">
      <w:start w:val="1"/>
      <w:numFmt w:val="bullet"/>
      <w:lvlText w:val=""/>
      <w:lvlJc w:val="left"/>
      <w:pPr>
        <w:ind w:left="6480" w:hanging="360"/>
      </w:pPr>
      <w:rPr>
        <w:rFonts w:ascii="Wingdings" w:hAnsi="Wingdings" w:hint="default"/>
      </w:rPr>
    </w:lvl>
  </w:abstractNum>
  <w:abstractNum w:abstractNumId="13">
    <w:nsid w:val="2A6362C3"/>
    <w:multiLevelType w:val="multilevel"/>
    <w:tmpl w:val="D874686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86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30334540"/>
    <w:multiLevelType w:val="hybridMultilevel"/>
    <w:tmpl w:val="E486A918"/>
    <w:lvl w:ilvl="0" w:tplc="04090001">
      <w:start w:val="1"/>
      <w:numFmt w:val="lowerRoman"/>
      <w:lvlText w:val="(%1)"/>
      <w:lvlJc w:val="left"/>
      <w:pPr>
        <w:tabs>
          <w:tab w:val="num" w:pos="1080"/>
        </w:tabs>
        <w:ind w:left="1080" w:hanging="360"/>
      </w:pPr>
      <w:rPr>
        <w:rFonts w:hint="default"/>
        <w:b w:val="0"/>
        <w:i w:val="0"/>
        <w:sz w:val="24"/>
        <w:szCs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31525563"/>
    <w:multiLevelType w:val="hybridMultilevel"/>
    <w:tmpl w:val="05D07DE8"/>
    <w:lvl w:ilvl="0" w:tplc="CBE2300A">
      <w:start w:val="1"/>
      <w:numFmt w:val="bullet"/>
      <w:lvlText w:val=""/>
      <w:lvlJc w:val="left"/>
      <w:pPr>
        <w:tabs>
          <w:tab w:val="num" w:pos="360"/>
        </w:tabs>
        <w:ind w:left="360" w:hanging="360"/>
      </w:pPr>
      <w:rPr>
        <w:rFonts w:ascii="Wingdings" w:hAnsi="Wingdings" w:hint="default"/>
      </w:rPr>
    </w:lvl>
    <w:lvl w:ilvl="1" w:tplc="51441768">
      <w:start w:val="1"/>
      <w:numFmt w:val="decimal"/>
      <w:lvlText w:val="%2."/>
      <w:lvlJc w:val="left"/>
      <w:pPr>
        <w:tabs>
          <w:tab w:val="num" w:pos="1440"/>
        </w:tabs>
        <w:ind w:left="1440" w:hanging="360"/>
      </w:pPr>
    </w:lvl>
    <w:lvl w:ilvl="2" w:tplc="5E348D16">
      <w:start w:val="1"/>
      <w:numFmt w:val="decimal"/>
      <w:lvlText w:val="%3."/>
      <w:lvlJc w:val="left"/>
      <w:pPr>
        <w:tabs>
          <w:tab w:val="num" w:pos="2160"/>
        </w:tabs>
        <w:ind w:left="2160" w:hanging="360"/>
      </w:pPr>
    </w:lvl>
    <w:lvl w:ilvl="3" w:tplc="14B85CB8">
      <w:start w:val="1"/>
      <w:numFmt w:val="decimal"/>
      <w:lvlText w:val="%4."/>
      <w:lvlJc w:val="left"/>
      <w:pPr>
        <w:tabs>
          <w:tab w:val="num" w:pos="2880"/>
        </w:tabs>
        <w:ind w:left="2880" w:hanging="360"/>
      </w:pPr>
    </w:lvl>
    <w:lvl w:ilvl="4" w:tplc="610ED78C">
      <w:start w:val="1"/>
      <w:numFmt w:val="decimal"/>
      <w:lvlText w:val="%5."/>
      <w:lvlJc w:val="left"/>
      <w:pPr>
        <w:tabs>
          <w:tab w:val="num" w:pos="3600"/>
        </w:tabs>
        <w:ind w:left="3600" w:hanging="360"/>
      </w:pPr>
    </w:lvl>
    <w:lvl w:ilvl="5" w:tplc="9E466AE0">
      <w:start w:val="1"/>
      <w:numFmt w:val="decimal"/>
      <w:lvlText w:val="%6."/>
      <w:lvlJc w:val="left"/>
      <w:pPr>
        <w:tabs>
          <w:tab w:val="num" w:pos="4320"/>
        </w:tabs>
        <w:ind w:left="4320" w:hanging="360"/>
      </w:pPr>
    </w:lvl>
    <w:lvl w:ilvl="6" w:tplc="754E92AC">
      <w:start w:val="1"/>
      <w:numFmt w:val="decimal"/>
      <w:lvlText w:val="%7."/>
      <w:lvlJc w:val="left"/>
      <w:pPr>
        <w:tabs>
          <w:tab w:val="num" w:pos="5040"/>
        </w:tabs>
        <w:ind w:left="5040" w:hanging="360"/>
      </w:pPr>
    </w:lvl>
    <w:lvl w:ilvl="7" w:tplc="746601DC">
      <w:start w:val="1"/>
      <w:numFmt w:val="decimal"/>
      <w:lvlText w:val="%8."/>
      <w:lvlJc w:val="left"/>
      <w:pPr>
        <w:tabs>
          <w:tab w:val="num" w:pos="5760"/>
        </w:tabs>
        <w:ind w:left="5760" w:hanging="360"/>
      </w:pPr>
    </w:lvl>
    <w:lvl w:ilvl="8" w:tplc="9F8664F6">
      <w:start w:val="1"/>
      <w:numFmt w:val="decimal"/>
      <w:lvlText w:val="%9."/>
      <w:lvlJc w:val="left"/>
      <w:pPr>
        <w:tabs>
          <w:tab w:val="num" w:pos="6480"/>
        </w:tabs>
        <w:ind w:left="6480" w:hanging="360"/>
      </w:pPr>
    </w:lvl>
  </w:abstractNum>
  <w:abstractNum w:abstractNumId="16">
    <w:nsid w:val="323B4261"/>
    <w:multiLevelType w:val="hybridMultilevel"/>
    <w:tmpl w:val="91EC7164"/>
    <w:lvl w:ilvl="0" w:tplc="D956732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3836473"/>
    <w:multiLevelType w:val="multilevel"/>
    <w:tmpl w:val="1EDAECA8"/>
    <w:styleLink w:val="Style1"/>
    <w:lvl w:ilvl="0">
      <w:start w:val="1"/>
      <w:numFmt w:val="decimal"/>
      <w:lvlText w:val="%1)"/>
      <w:lvlJc w:val="left"/>
      <w:pPr>
        <w:ind w:left="360" w:hanging="360"/>
      </w:pPr>
      <w:rPr>
        <w:rFonts w:hint="default"/>
        <w:caps w:val="0"/>
        <w:strike w:val="0"/>
        <w:dstrike w:val="0"/>
        <w:vanish w:val="0"/>
        <w:color w:val="auto"/>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4416BE9"/>
    <w:multiLevelType w:val="hybridMultilevel"/>
    <w:tmpl w:val="806C40D8"/>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nsid w:val="39F77B14"/>
    <w:multiLevelType w:val="hybridMultilevel"/>
    <w:tmpl w:val="F872D190"/>
    <w:lvl w:ilvl="0" w:tplc="49BE64BA">
      <w:start w:val="1"/>
      <w:numFmt w:val="lowerRoman"/>
      <w:lvlText w:val="(%1)"/>
      <w:lvlJc w:val="left"/>
      <w:pPr>
        <w:tabs>
          <w:tab w:val="num" w:pos="1080"/>
        </w:tabs>
        <w:ind w:left="1080" w:hanging="360"/>
      </w:pPr>
      <w:rPr>
        <w:rFonts w:hint="default"/>
        <w:b w:val="0"/>
        <w:i w:val="0"/>
        <w:sz w:val="24"/>
        <w:szCs w:val="24"/>
      </w:rPr>
    </w:lvl>
    <w:lvl w:ilvl="1" w:tplc="BC1AB1B4" w:tentative="1">
      <w:start w:val="1"/>
      <w:numFmt w:val="lowerLetter"/>
      <w:lvlText w:val="%2."/>
      <w:lvlJc w:val="left"/>
      <w:pPr>
        <w:tabs>
          <w:tab w:val="num" w:pos="1080"/>
        </w:tabs>
        <w:ind w:left="1080" w:hanging="360"/>
      </w:pPr>
    </w:lvl>
    <w:lvl w:ilvl="2" w:tplc="B39298FA" w:tentative="1">
      <w:start w:val="1"/>
      <w:numFmt w:val="lowerRoman"/>
      <w:lvlText w:val="%3."/>
      <w:lvlJc w:val="right"/>
      <w:pPr>
        <w:tabs>
          <w:tab w:val="num" w:pos="1800"/>
        </w:tabs>
        <w:ind w:left="1800" w:hanging="180"/>
      </w:pPr>
    </w:lvl>
    <w:lvl w:ilvl="3" w:tplc="37F8AB62" w:tentative="1">
      <w:start w:val="1"/>
      <w:numFmt w:val="decimal"/>
      <w:lvlText w:val="%4."/>
      <w:lvlJc w:val="left"/>
      <w:pPr>
        <w:tabs>
          <w:tab w:val="num" w:pos="2520"/>
        </w:tabs>
        <w:ind w:left="2520" w:hanging="360"/>
      </w:pPr>
    </w:lvl>
    <w:lvl w:ilvl="4" w:tplc="3C9C91E4" w:tentative="1">
      <w:start w:val="1"/>
      <w:numFmt w:val="lowerLetter"/>
      <w:lvlText w:val="%5."/>
      <w:lvlJc w:val="left"/>
      <w:pPr>
        <w:tabs>
          <w:tab w:val="num" w:pos="3240"/>
        </w:tabs>
        <w:ind w:left="3240" w:hanging="360"/>
      </w:pPr>
    </w:lvl>
    <w:lvl w:ilvl="5" w:tplc="73FE30FA" w:tentative="1">
      <w:start w:val="1"/>
      <w:numFmt w:val="lowerRoman"/>
      <w:lvlText w:val="%6."/>
      <w:lvlJc w:val="right"/>
      <w:pPr>
        <w:tabs>
          <w:tab w:val="num" w:pos="3960"/>
        </w:tabs>
        <w:ind w:left="3960" w:hanging="180"/>
      </w:pPr>
    </w:lvl>
    <w:lvl w:ilvl="6" w:tplc="75D845A8" w:tentative="1">
      <w:start w:val="1"/>
      <w:numFmt w:val="decimal"/>
      <w:lvlText w:val="%7."/>
      <w:lvlJc w:val="left"/>
      <w:pPr>
        <w:tabs>
          <w:tab w:val="num" w:pos="4680"/>
        </w:tabs>
        <w:ind w:left="4680" w:hanging="360"/>
      </w:pPr>
    </w:lvl>
    <w:lvl w:ilvl="7" w:tplc="ADDA0246" w:tentative="1">
      <w:start w:val="1"/>
      <w:numFmt w:val="lowerLetter"/>
      <w:lvlText w:val="%8."/>
      <w:lvlJc w:val="left"/>
      <w:pPr>
        <w:tabs>
          <w:tab w:val="num" w:pos="5400"/>
        </w:tabs>
        <w:ind w:left="5400" w:hanging="360"/>
      </w:pPr>
    </w:lvl>
    <w:lvl w:ilvl="8" w:tplc="9AD096BC" w:tentative="1">
      <w:start w:val="1"/>
      <w:numFmt w:val="lowerRoman"/>
      <w:lvlText w:val="%9."/>
      <w:lvlJc w:val="right"/>
      <w:pPr>
        <w:tabs>
          <w:tab w:val="num" w:pos="6120"/>
        </w:tabs>
        <w:ind w:left="6120" w:hanging="180"/>
      </w:pPr>
    </w:lvl>
  </w:abstractNum>
  <w:abstractNum w:abstractNumId="20">
    <w:nsid w:val="3EF16F4A"/>
    <w:multiLevelType w:val="hybridMultilevel"/>
    <w:tmpl w:val="F3A20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3C6817"/>
    <w:multiLevelType w:val="multilevel"/>
    <w:tmpl w:val="D874686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86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475260DC"/>
    <w:multiLevelType w:val="hybridMultilevel"/>
    <w:tmpl w:val="564402FC"/>
    <w:lvl w:ilvl="0" w:tplc="7E96A3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51E9E"/>
    <w:multiLevelType w:val="hybridMultilevel"/>
    <w:tmpl w:val="7F28BD78"/>
    <w:lvl w:ilvl="0" w:tplc="981E61CA">
      <w:start w:val="1"/>
      <w:numFmt w:val="decimal"/>
      <w:lvlText w:val="%1."/>
      <w:lvlJc w:val="left"/>
      <w:pPr>
        <w:ind w:left="720" w:hanging="360"/>
      </w:pPr>
    </w:lvl>
    <w:lvl w:ilvl="1" w:tplc="150CE6B4" w:tentative="1">
      <w:start w:val="1"/>
      <w:numFmt w:val="lowerLetter"/>
      <w:lvlText w:val="%2."/>
      <w:lvlJc w:val="left"/>
      <w:pPr>
        <w:ind w:left="1440" w:hanging="360"/>
      </w:pPr>
    </w:lvl>
    <w:lvl w:ilvl="2" w:tplc="2790224C" w:tentative="1">
      <w:start w:val="1"/>
      <w:numFmt w:val="lowerRoman"/>
      <w:lvlText w:val="%3."/>
      <w:lvlJc w:val="right"/>
      <w:pPr>
        <w:ind w:left="2160" w:hanging="180"/>
      </w:pPr>
    </w:lvl>
    <w:lvl w:ilvl="3" w:tplc="11A8BDDC" w:tentative="1">
      <w:start w:val="1"/>
      <w:numFmt w:val="decimal"/>
      <w:lvlText w:val="%4."/>
      <w:lvlJc w:val="left"/>
      <w:pPr>
        <w:ind w:left="2880" w:hanging="360"/>
      </w:pPr>
    </w:lvl>
    <w:lvl w:ilvl="4" w:tplc="215E9158" w:tentative="1">
      <w:start w:val="1"/>
      <w:numFmt w:val="lowerLetter"/>
      <w:lvlText w:val="%5."/>
      <w:lvlJc w:val="left"/>
      <w:pPr>
        <w:ind w:left="3600" w:hanging="360"/>
      </w:pPr>
    </w:lvl>
    <w:lvl w:ilvl="5" w:tplc="76620848" w:tentative="1">
      <w:start w:val="1"/>
      <w:numFmt w:val="lowerRoman"/>
      <w:lvlText w:val="%6."/>
      <w:lvlJc w:val="right"/>
      <w:pPr>
        <w:ind w:left="4320" w:hanging="180"/>
      </w:pPr>
    </w:lvl>
    <w:lvl w:ilvl="6" w:tplc="28E68BB6" w:tentative="1">
      <w:start w:val="1"/>
      <w:numFmt w:val="decimal"/>
      <w:lvlText w:val="%7."/>
      <w:lvlJc w:val="left"/>
      <w:pPr>
        <w:ind w:left="5040" w:hanging="360"/>
      </w:pPr>
    </w:lvl>
    <w:lvl w:ilvl="7" w:tplc="54B8ADAE" w:tentative="1">
      <w:start w:val="1"/>
      <w:numFmt w:val="lowerLetter"/>
      <w:lvlText w:val="%8."/>
      <w:lvlJc w:val="left"/>
      <w:pPr>
        <w:ind w:left="5760" w:hanging="360"/>
      </w:pPr>
    </w:lvl>
    <w:lvl w:ilvl="8" w:tplc="99F0072A" w:tentative="1">
      <w:start w:val="1"/>
      <w:numFmt w:val="lowerRoman"/>
      <w:lvlText w:val="%9."/>
      <w:lvlJc w:val="right"/>
      <w:pPr>
        <w:ind w:left="6480" w:hanging="180"/>
      </w:pPr>
    </w:lvl>
  </w:abstractNum>
  <w:abstractNum w:abstractNumId="24">
    <w:nsid w:val="51487FBF"/>
    <w:multiLevelType w:val="hybridMultilevel"/>
    <w:tmpl w:val="147E877A"/>
    <w:lvl w:ilvl="0" w:tplc="0408000F">
      <w:start w:val="1"/>
      <w:numFmt w:val="upperRoman"/>
      <w:lvlText w:val="%1."/>
      <w:lvlJc w:val="right"/>
      <w:pPr>
        <w:tabs>
          <w:tab w:val="num" w:pos="720"/>
        </w:tabs>
        <w:ind w:left="720" w:hanging="360"/>
      </w:pPr>
    </w:lvl>
    <w:lvl w:ilvl="1" w:tplc="04080019">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474BA4"/>
    <w:multiLevelType w:val="multilevel"/>
    <w:tmpl w:val="1EDAECA8"/>
    <w:numStyleLink w:val="Style1"/>
  </w:abstractNum>
  <w:abstractNum w:abstractNumId="26">
    <w:nsid w:val="561C4105"/>
    <w:multiLevelType w:val="hybridMultilevel"/>
    <w:tmpl w:val="2D044256"/>
    <w:lvl w:ilvl="0" w:tplc="04090013">
      <w:start w:val="1"/>
      <w:numFmt w:val="bullet"/>
      <w:lvlText w:val=""/>
      <w:lvlJc w:val="left"/>
      <w:pPr>
        <w:tabs>
          <w:tab w:val="num" w:pos="360"/>
        </w:tabs>
        <w:ind w:left="340" w:hanging="340"/>
      </w:pPr>
      <w:rPr>
        <w:rFonts w:ascii="Wingdings" w:hAnsi="Wingdings" w:hint="default"/>
        <w:strike w:val="0"/>
        <w:dstrike w:val="0"/>
        <w:color w:val="000000"/>
      </w:rPr>
    </w:lvl>
    <w:lvl w:ilvl="1" w:tplc="66E25B4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8DD64BF"/>
    <w:multiLevelType w:val="multilevel"/>
    <w:tmpl w:val="471E96B8"/>
    <w:lvl w:ilvl="0">
      <w:start w:val="1"/>
      <w:numFmt w:val="decimal"/>
      <w:lvlText w:val="%1"/>
      <w:lvlJc w:val="left"/>
      <w:pPr>
        <w:ind w:left="525" w:hanging="525"/>
      </w:pPr>
      <w:rPr>
        <w:rFonts w:hint="default"/>
      </w:rPr>
    </w:lvl>
    <w:lvl w:ilvl="1">
      <w:start w:val="1"/>
      <w:numFmt w:val="decimal"/>
      <w:pStyle w:val="Heading2"/>
      <w:lvlText w:val="%1.%2"/>
      <w:lvlJc w:val="left"/>
      <w:pPr>
        <w:ind w:left="705" w:hanging="525"/>
      </w:pPr>
      <w:rPr>
        <w:rFonts w:hint="default"/>
      </w:rPr>
    </w:lvl>
    <w:lvl w:ilvl="2">
      <w:start w:val="1"/>
      <w:numFmt w:val="decimal"/>
      <w:lvlText w:val="%1.%2.%3"/>
      <w:lvlJc w:val="left"/>
      <w:pPr>
        <w:ind w:left="86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5D28126A"/>
    <w:multiLevelType w:val="multilevel"/>
    <w:tmpl w:val="D874686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86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620" w:hanging="1080"/>
      </w:pPr>
      <w:rPr>
        <w:rFonts w:hint="default"/>
      </w:rPr>
    </w:lvl>
    <w:lvl w:ilvl="4">
      <w:start w:val="1"/>
      <w:numFmt w:val="bullet"/>
      <w:lvlText w:val=""/>
      <w:lvlJc w:val="left"/>
      <w:pPr>
        <w:ind w:left="1800" w:hanging="1080"/>
      </w:pPr>
      <w:rPr>
        <w:rFonts w:ascii="Wingdings" w:hAnsi="Wingding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5D930C5B"/>
    <w:multiLevelType w:val="hybridMultilevel"/>
    <w:tmpl w:val="CCCAEE92"/>
    <w:lvl w:ilvl="0" w:tplc="7AC0A9C4">
      <w:start w:val="1"/>
      <w:numFmt w:val="decimal"/>
      <w:lvlText w:val="%1."/>
      <w:lvlJc w:val="left"/>
      <w:pPr>
        <w:ind w:left="720" w:hanging="360"/>
      </w:pPr>
    </w:lvl>
    <w:lvl w:ilvl="1" w:tplc="53B6F136">
      <w:start w:val="1"/>
      <w:numFmt w:val="lowerLetter"/>
      <w:lvlText w:val="%2."/>
      <w:lvlJc w:val="left"/>
      <w:pPr>
        <w:ind w:left="1440" w:hanging="360"/>
      </w:pPr>
    </w:lvl>
    <w:lvl w:ilvl="2" w:tplc="230E4942">
      <w:start w:val="1"/>
      <w:numFmt w:val="lowerRoman"/>
      <w:lvlText w:val="%3."/>
      <w:lvlJc w:val="right"/>
      <w:pPr>
        <w:ind w:left="2160" w:hanging="180"/>
      </w:pPr>
    </w:lvl>
    <w:lvl w:ilvl="3" w:tplc="FE1E8578">
      <w:start w:val="1"/>
      <w:numFmt w:val="decimal"/>
      <w:lvlText w:val="%4."/>
      <w:lvlJc w:val="left"/>
      <w:pPr>
        <w:ind w:left="2880" w:hanging="360"/>
      </w:pPr>
    </w:lvl>
    <w:lvl w:ilvl="4" w:tplc="ED50B962">
      <w:start w:val="1"/>
      <w:numFmt w:val="lowerLetter"/>
      <w:lvlText w:val="%5."/>
      <w:lvlJc w:val="left"/>
      <w:pPr>
        <w:ind w:left="3600" w:hanging="360"/>
      </w:pPr>
    </w:lvl>
    <w:lvl w:ilvl="5" w:tplc="5412A8B0">
      <w:start w:val="1"/>
      <w:numFmt w:val="lowerRoman"/>
      <w:lvlText w:val="%6."/>
      <w:lvlJc w:val="right"/>
      <w:pPr>
        <w:ind w:left="4320" w:hanging="180"/>
      </w:pPr>
    </w:lvl>
    <w:lvl w:ilvl="6" w:tplc="001EB76A">
      <w:start w:val="1"/>
      <w:numFmt w:val="decimal"/>
      <w:lvlText w:val="%7."/>
      <w:lvlJc w:val="left"/>
      <w:pPr>
        <w:ind w:left="5040" w:hanging="360"/>
      </w:pPr>
    </w:lvl>
    <w:lvl w:ilvl="7" w:tplc="ECD8CEFC">
      <w:start w:val="1"/>
      <w:numFmt w:val="lowerLetter"/>
      <w:lvlText w:val="%8."/>
      <w:lvlJc w:val="left"/>
      <w:pPr>
        <w:ind w:left="5760" w:hanging="360"/>
      </w:pPr>
    </w:lvl>
    <w:lvl w:ilvl="8" w:tplc="1CA8D61C">
      <w:start w:val="1"/>
      <w:numFmt w:val="lowerRoman"/>
      <w:lvlText w:val="%9."/>
      <w:lvlJc w:val="right"/>
      <w:pPr>
        <w:ind w:left="6480" w:hanging="180"/>
      </w:pPr>
    </w:lvl>
  </w:abstractNum>
  <w:abstractNum w:abstractNumId="30">
    <w:nsid w:val="75A91ED5"/>
    <w:multiLevelType w:val="multilevel"/>
    <w:tmpl w:val="0408001D"/>
    <w:styleLink w:val="Style2"/>
    <w:lvl w:ilvl="0">
      <w:start w:val="1"/>
      <w:numFmt w:val="decimal"/>
      <w:lvlText w:val="%1)"/>
      <w:lvlJc w:val="left"/>
      <w:pPr>
        <w:ind w:left="360" w:hanging="360"/>
      </w:pPr>
      <w:rPr>
        <w:rFonts w:ascii="Arial" w:hAnsi="Arial"/>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F43B6F"/>
    <w:multiLevelType w:val="multilevel"/>
    <w:tmpl w:val="295859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hint="default"/>
        <w:sz w:val="24"/>
        <w:szCs w:val="24"/>
      </w:rPr>
    </w:lvl>
    <w:lvl w:ilvl="4">
      <w:start w:val="1"/>
      <w:numFmt w:val="decimal"/>
      <w:lvlText w:val="%1.%2.%3.%4.%5"/>
      <w:lvlJc w:val="left"/>
      <w:pPr>
        <w:ind w:left="1008" w:hanging="1008"/>
      </w:pPr>
      <w:rPr>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8FF2D83"/>
    <w:multiLevelType w:val="hybridMultilevel"/>
    <w:tmpl w:val="33709746"/>
    <w:lvl w:ilvl="0" w:tplc="65FA9144">
      <w:start w:val="1"/>
      <w:numFmt w:val="decimal"/>
      <w:lvlText w:val="%1."/>
      <w:lvlJc w:val="left"/>
      <w:pPr>
        <w:ind w:left="360" w:hanging="360"/>
      </w:pPr>
    </w:lvl>
    <w:lvl w:ilvl="1" w:tplc="66A06ED4">
      <w:start w:val="1"/>
      <w:numFmt w:val="lowerLetter"/>
      <w:lvlText w:val="%2."/>
      <w:lvlJc w:val="left"/>
      <w:pPr>
        <w:ind w:left="1080" w:hanging="360"/>
      </w:pPr>
    </w:lvl>
    <w:lvl w:ilvl="2" w:tplc="16F4D59A">
      <w:start w:val="1"/>
      <w:numFmt w:val="lowerRoman"/>
      <w:lvlText w:val="%3."/>
      <w:lvlJc w:val="right"/>
      <w:pPr>
        <w:ind w:left="1800" w:hanging="180"/>
      </w:pPr>
    </w:lvl>
    <w:lvl w:ilvl="3" w:tplc="0A0A76A6">
      <w:start w:val="1"/>
      <w:numFmt w:val="decimal"/>
      <w:lvlText w:val="%4."/>
      <w:lvlJc w:val="left"/>
      <w:pPr>
        <w:ind w:left="2520" w:hanging="360"/>
      </w:pPr>
    </w:lvl>
    <w:lvl w:ilvl="4" w:tplc="576AF682">
      <w:start w:val="1"/>
      <w:numFmt w:val="lowerLetter"/>
      <w:lvlText w:val="%5."/>
      <w:lvlJc w:val="left"/>
      <w:pPr>
        <w:ind w:left="3240" w:hanging="360"/>
      </w:pPr>
    </w:lvl>
    <w:lvl w:ilvl="5" w:tplc="7E1EE822">
      <w:start w:val="1"/>
      <w:numFmt w:val="lowerRoman"/>
      <w:lvlText w:val="%6."/>
      <w:lvlJc w:val="right"/>
      <w:pPr>
        <w:ind w:left="3960" w:hanging="180"/>
      </w:pPr>
    </w:lvl>
    <w:lvl w:ilvl="6" w:tplc="05387A36">
      <w:start w:val="1"/>
      <w:numFmt w:val="decimal"/>
      <w:lvlText w:val="%7."/>
      <w:lvlJc w:val="left"/>
      <w:pPr>
        <w:ind w:left="4680" w:hanging="360"/>
      </w:pPr>
    </w:lvl>
    <w:lvl w:ilvl="7" w:tplc="FF32BD96">
      <w:start w:val="1"/>
      <w:numFmt w:val="lowerLetter"/>
      <w:lvlText w:val="%8."/>
      <w:lvlJc w:val="left"/>
      <w:pPr>
        <w:ind w:left="5400" w:hanging="360"/>
      </w:pPr>
    </w:lvl>
    <w:lvl w:ilvl="8" w:tplc="D72EC00C">
      <w:start w:val="1"/>
      <w:numFmt w:val="lowerRoman"/>
      <w:lvlText w:val="%9."/>
      <w:lvlJc w:val="right"/>
      <w:pPr>
        <w:ind w:left="6120" w:hanging="180"/>
      </w:pPr>
    </w:lvl>
  </w:abstractNum>
  <w:num w:numId="1">
    <w:abstractNumId w:val="9"/>
  </w:num>
  <w:num w:numId="2">
    <w:abstractNumId w:val="15"/>
  </w:num>
  <w:num w:numId="3">
    <w:abstractNumId w:val="26"/>
  </w:num>
  <w:num w:numId="4">
    <w:abstractNumId w:val="6"/>
  </w:num>
  <w:num w:numId="5">
    <w:abstractNumId w:val="5"/>
  </w:num>
  <w:num w:numId="6">
    <w:abstractNumId w:val="24"/>
  </w:num>
  <w:num w:numId="7">
    <w:abstractNumId w:val="0"/>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6"/>
  </w:num>
  <w:num w:numId="19">
    <w:abstractNumId w:val="23"/>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5"/>
    </w:lvlOverride>
    <w:lvlOverride w:ilvl="2">
      <w:startOverride w:val="1"/>
    </w:lvlOverride>
  </w:num>
  <w:num w:numId="3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17"/>
  </w:num>
  <w:num w:numId="40">
    <w:abstractNumId w:val="25"/>
  </w:num>
  <w:num w:numId="41">
    <w:abstractNumId w:val="27"/>
  </w:num>
  <w:num w:numId="42">
    <w:abstractNumId w:val="21"/>
  </w:num>
  <w:num w:numId="43">
    <w:abstractNumId w:val="30"/>
  </w:num>
  <w:num w:numId="44">
    <w:abstractNumId w:val="10"/>
  </w:num>
  <w:num w:numId="45">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17451"/>
    <w:rsid w:val="000014FA"/>
    <w:rsid w:val="00006BBD"/>
    <w:rsid w:val="00012C9B"/>
    <w:rsid w:val="0002275E"/>
    <w:rsid w:val="00027784"/>
    <w:rsid w:val="00030ADF"/>
    <w:rsid w:val="00041D9D"/>
    <w:rsid w:val="000563B5"/>
    <w:rsid w:val="000629B5"/>
    <w:rsid w:val="000646A5"/>
    <w:rsid w:val="0006478A"/>
    <w:rsid w:val="00065F1D"/>
    <w:rsid w:val="000706B2"/>
    <w:rsid w:val="000732AD"/>
    <w:rsid w:val="000748AF"/>
    <w:rsid w:val="00075996"/>
    <w:rsid w:val="00075D70"/>
    <w:rsid w:val="00083D52"/>
    <w:rsid w:val="000932AB"/>
    <w:rsid w:val="000A5E5E"/>
    <w:rsid w:val="000F1CD1"/>
    <w:rsid w:val="000F2172"/>
    <w:rsid w:val="000F2B93"/>
    <w:rsid w:val="00117D9F"/>
    <w:rsid w:val="00117FC7"/>
    <w:rsid w:val="00117FFB"/>
    <w:rsid w:val="0012067C"/>
    <w:rsid w:val="0012239D"/>
    <w:rsid w:val="00122682"/>
    <w:rsid w:val="00127775"/>
    <w:rsid w:val="001370B6"/>
    <w:rsid w:val="001371E4"/>
    <w:rsid w:val="00145803"/>
    <w:rsid w:val="001475CC"/>
    <w:rsid w:val="00162DD0"/>
    <w:rsid w:val="0018035C"/>
    <w:rsid w:val="001A358D"/>
    <w:rsid w:val="001A5D67"/>
    <w:rsid w:val="001C2D02"/>
    <w:rsid w:val="001C407E"/>
    <w:rsid w:val="001D0E9F"/>
    <w:rsid w:val="001E379F"/>
    <w:rsid w:val="001F128D"/>
    <w:rsid w:val="001F2602"/>
    <w:rsid w:val="001F5800"/>
    <w:rsid w:val="001F5851"/>
    <w:rsid w:val="002008D1"/>
    <w:rsid w:val="0020628B"/>
    <w:rsid w:val="00207EB9"/>
    <w:rsid w:val="002123C2"/>
    <w:rsid w:val="002160FC"/>
    <w:rsid w:val="00216791"/>
    <w:rsid w:val="00216C07"/>
    <w:rsid w:val="002231EC"/>
    <w:rsid w:val="00224ACC"/>
    <w:rsid w:val="002326EE"/>
    <w:rsid w:val="00241894"/>
    <w:rsid w:val="00245F2F"/>
    <w:rsid w:val="00247F03"/>
    <w:rsid w:val="00254B53"/>
    <w:rsid w:val="0026463E"/>
    <w:rsid w:val="0027110F"/>
    <w:rsid w:val="0028741A"/>
    <w:rsid w:val="0029209A"/>
    <w:rsid w:val="00294336"/>
    <w:rsid w:val="00295914"/>
    <w:rsid w:val="002A2C23"/>
    <w:rsid w:val="002B3ED0"/>
    <w:rsid w:val="002B7CE0"/>
    <w:rsid w:val="002C18AB"/>
    <w:rsid w:val="002C1B75"/>
    <w:rsid w:val="002C1BB0"/>
    <w:rsid w:val="002C316B"/>
    <w:rsid w:val="002D183B"/>
    <w:rsid w:val="002D38E7"/>
    <w:rsid w:val="002E1714"/>
    <w:rsid w:val="002E2A54"/>
    <w:rsid w:val="002F09B8"/>
    <w:rsid w:val="002F35A2"/>
    <w:rsid w:val="003012F2"/>
    <w:rsid w:val="003060C7"/>
    <w:rsid w:val="00314E29"/>
    <w:rsid w:val="0032105F"/>
    <w:rsid w:val="00331311"/>
    <w:rsid w:val="0034007F"/>
    <w:rsid w:val="00342A9B"/>
    <w:rsid w:val="00342F06"/>
    <w:rsid w:val="0034537E"/>
    <w:rsid w:val="003454CB"/>
    <w:rsid w:val="003557DB"/>
    <w:rsid w:val="00356E7C"/>
    <w:rsid w:val="003575BA"/>
    <w:rsid w:val="00395B4D"/>
    <w:rsid w:val="003A1253"/>
    <w:rsid w:val="003A7D81"/>
    <w:rsid w:val="003B287A"/>
    <w:rsid w:val="003B28F4"/>
    <w:rsid w:val="003C02BD"/>
    <w:rsid w:val="003C0494"/>
    <w:rsid w:val="003C207A"/>
    <w:rsid w:val="003E0D35"/>
    <w:rsid w:val="003E6C7D"/>
    <w:rsid w:val="003F0787"/>
    <w:rsid w:val="003F20DC"/>
    <w:rsid w:val="0040770A"/>
    <w:rsid w:val="0041037D"/>
    <w:rsid w:val="00410FCD"/>
    <w:rsid w:val="00416A0B"/>
    <w:rsid w:val="00416FDF"/>
    <w:rsid w:val="00417451"/>
    <w:rsid w:val="00417F34"/>
    <w:rsid w:val="004230F9"/>
    <w:rsid w:val="00424DCC"/>
    <w:rsid w:val="004265DC"/>
    <w:rsid w:val="00427CBE"/>
    <w:rsid w:val="004311C1"/>
    <w:rsid w:val="0044519C"/>
    <w:rsid w:val="00446204"/>
    <w:rsid w:val="00450102"/>
    <w:rsid w:val="00452E53"/>
    <w:rsid w:val="004629E1"/>
    <w:rsid w:val="00464A4A"/>
    <w:rsid w:val="004738AC"/>
    <w:rsid w:val="00481E20"/>
    <w:rsid w:val="00484E37"/>
    <w:rsid w:val="004939FC"/>
    <w:rsid w:val="00496F62"/>
    <w:rsid w:val="004A4C9B"/>
    <w:rsid w:val="004B126A"/>
    <w:rsid w:val="004B3C59"/>
    <w:rsid w:val="004B4171"/>
    <w:rsid w:val="004C00E7"/>
    <w:rsid w:val="004C357B"/>
    <w:rsid w:val="004C6DF5"/>
    <w:rsid w:val="004E6017"/>
    <w:rsid w:val="004E780E"/>
    <w:rsid w:val="004F0479"/>
    <w:rsid w:val="004F1053"/>
    <w:rsid w:val="005108DB"/>
    <w:rsid w:val="005110E4"/>
    <w:rsid w:val="00513B03"/>
    <w:rsid w:val="0051507E"/>
    <w:rsid w:val="00525CEC"/>
    <w:rsid w:val="0052784D"/>
    <w:rsid w:val="00532DDE"/>
    <w:rsid w:val="00533890"/>
    <w:rsid w:val="00534CEE"/>
    <w:rsid w:val="005360A1"/>
    <w:rsid w:val="00550735"/>
    <w:rsid w:val="00562F98"/>
    <w:rsid w:val="00565146"/>
    <w:rsid w:val="00567D3E"/>
    <w:rsid w:val="00572CA0"/>
    <w:rsid w:val="00592448"/>
    <w:rsid w:val="005B309B"/>
    <w:rsid w:val="005C39B1"/>
    <w:rsid w:val="005C6643"/>
    <w:rsid w:val="005D3DCC"/>
    <w:rsid w:val="005D5DB2"/>
    <w:rsid w:val="005E0FB6"/>
    <w:rsid w:val="005F6FC3"/>
    <w:rsid w:val="00602084"/>
    <w:rsid w:val="0060531B"/>
    <w:rsid w:val="0060693C"/>
    <w:rsid w:val="00610027"/>
    <w:rsid w:val="006202A4"/>
    <w:rsid w:val="00635063"/>
    <w:rsid w:val="00641DE4"/>
    <w:rsid w:val="00645C74"/>
    <w:rsid w:val="00647A75"/>
    <w:rsid w:val="00650D94"/>
    <w:rsid w:val="00680A25"/>
    <w:rsid w:val="00685C01"/>
    <w:rsid w:val="00685F60"/>
    <w:rsid w:val="006866A2"/>
    <w:rsid w:val="00690196"/>
    <w:rsid w:val="0069368C"/>
    <w:rsid w:val="006965F9"/>
    <w:rsid w:val="00697AA2"/>
    <w:rsid w:val="006A094C"/>
    <w:rsid w:val="006A4D15"/>
    <w:rsid w:val="006B477A"/>
    <w:rsid w:val="006B6EE4"/>
    <w:rsid w:val="006C7067"/>
    <w:rsid w:val="006D04AF"/>
    <w:rsid w:val="006D61CA"/>
    <w:rsid w:val="006D765D"/>
    <w:rsid w:val="006E27B4"/>
    <w:rsid w:val="006F4B89"/>
    <w:rsid w:val="006F71F6"/>
    <w:rsid w:val="00711F86"/>
    <w:rsid w:val="00712074"/>
    <w:rsid w:val="007169D1"/>
    <w:rsid w:val="007174B3"/>
    <w:rsid w:val="0071798E"/>
    <w:rsid w:val="00724160"/>
    <w:rsid w:val="007271FC"/>
    <w:rsid w:val="00734E6C"/>
    <w:rsid w:val="00742002"/>
    <w:rsid w:val="00742197"/>
    <w:rsid w:val="007524A5"/>
    <w:rsid w:val="00753935"/>
    <w:rsid w:val="00757788"/>
    <w:rsid w:val="00763943"/>
    <w:rsid w:val="00764229"/>
    <w:rsid w:val="00774D0A"/>
    <w:rsid w:val="007827A9"/>
    <w:rsid w:val="00782FCB"/>
    <w:rsid w:val="00785C06"/>
    <w:rsid w:val="00787EAF"/>
    <w:rsid w:val="0079285D"/>
    <w:rsid w:val="00796E29"/>
    <w:rsid w:val="00797637"/>
    <w:rsid w:val="007A203D"/>
    <w:rsid w:val="007A2A66"/>
    <w:rsid w:val="007B1DA5"/>
    <w:rsid w:val="007B30D3"/>
    <w:rsid w:val="007C3258"/>
    <w:rsid w:val="007C36F9"/>
    <w:rsid w:val="007C4148"/>
    <w:rsid w:val="007E40E2"/>
    <w:rsid w:val="007F0A0D"/>
    <w:rsid w:val="007F554D"/>
    <w:rsid w:val="00804027"/>
    <w:rsid w:val="008075CF"/>
    <w:rsid w:val="00810073"/>
    <w:rsid w:val="00814532"/>
    <w:rsid w:val="00822E7B"/>
    <w:rsid w:val="00825DF3"/>
    <w:rsid w:val="008455FE"/>
    <w:rsid w:val="00861B8B"/>
    <w:rsid w:val="00861DBF"/>
    <w:rsid w:val="0086259D"/>
    <w:rsid w:val="00867853"/>
    <w:rsid w:val="00872B9F"/>
    <w:rsid w:val="008773A1"/>
    <w:rsid w:val="00881E2B"/>
    <w:rsid w:val="00885D81"/>
    <w:rsid w:val="008871BE"/>
    <w:rsid w:val="008A12F5"/>
    <w:rsid w:val="008A46E2"/>
    <w:rsid w:val="008A59D7"/>
    <w:rsid w:val="008B2D1A"/>
    <w:rsid w:val="008B3D9D"/>
    <w:rsid w:val="008B7295"/>
    <w:rsid w:val="008C5A32"/>
    <w:rsid w:val="008C5F08"/>
    <w:rsid w:val="008E5514"/>
    <w:rsid w:val="008E7BD6"/>
    <w:rsid w:val="008F316B"/>
    <w:rsid w:val="008F46A0"/>
    <w:rsid w:val="00901360"/>
    <w:rsid w:val="00910E35"/>
    <w:rsid w:val="00912553"/>
    <w:rsid w:val="009201F2"/>
    <w:rsid w:val="009212F1"/>
    <w:rsid w:val="00924CAC"/>
    <w:rsid w:val="00935B1C"/>
    <w:rsid w:val="0094300F"/>
    <w:rsid w:val="0094356E"/>
    <w:rsid w:val="00946722"/>
    <w:rsid w:val="00946E52"/>
    <w:rsid w:val="00953B03"/>
    <w:rsid w:val="009660F2"/>
    <w:rsid w:val="00967EE1"/>
    <w:rsid w:val="00985945"/>
    <w:rsid w:val="00992AE4"/>
    <w:rsid w:val="009A0B30"/>
    <w:rsid w:val="009A3284"/>
    <w:rsid w:val="009A6C1D"/>
    <w:rsid w:val="009B54C8"/>
    <w:rsid w:val="009C3545"/>
    <w:rsid w:val="009E0F06"/>
    <w:rsid w:val="00A0594C"/>
    <w:rsid w:val="00A0744C"/>
    <w:rsid w:val="00A1122D"/>
    <w:rsid w:val="00A16F45"/>
    <w:rsid w:val="00A205A8"/>
    <w:rsid w:val="00A2779C"/>
    <w:rsid w:val="00A31593"/>
    <w:rsid w:val="00A358F4"/>
    <w:rsid w:val="00A4085E"/>
    <w:rsid w:val="00A43167"/>
    <w:rsid w:val="00A4409B"/>
    <w:rsid w:val="00A44682"/>
    <w:rsid w:val="00A45121"/>
    <w:rsid w:val="00A45337"/>
    <w:rsid w:val="00A45609"/>
    <w:rsid w:val="00A63AD9"/>
    <w:rsid w:val="00A70527"/>
    <w:rsid w:val="00A86010"/>
    <w:rsid w:val="00A863E3"/>
    <w:rsid w:val="00A87079"/>
    <w:rsid w:val="00A92DE3"/>
    <w:rsid w:val="00AA332A"/>
    <w:rsid w:val="00AB35F9"/>
    <w:rsid w:val="00AB7F1C"/>
    <w:rsid w:val="00AC3883"/>
    <w:rsid w:val="00AC54F3"/>
    <w:rsid w:val="00AD1ACE"/>
    <w:rsid w:val="00AD1DFA"/>
    <w:rsid w:val="00AE1C7F"/>
    <w:rsid w:val="00AF2986"/>
    <w:rsid w:val="00B14728"/>
    <w:rsid w:val="00B1535F"/>
    <w:rsid w:val="00B357B6"/>
    <w:rsid w:val="00B3589E"/>
    <w:rsid w:val="00B425B1"/>
    <w:rsid w:val="00B4601D"/>
    <w:rsid w:val="00B5184E"/>
    <w:rsid w:val="00B543A4"/>
    <w:rsid w:val="00B61BA5"/>
    <w:rsid w:val="00B6218A"/>
    <w:rsid w:val="00B654FA"/>
    <w:rsid w:val="00B65C0C"/>
    <w:rsid w:val="00B71BC0"/>
    <w:rsid w:val="00B73966"/>
    <w:rsid w:val="00B753B5"/>
    <w:rsid w:val="00B85249"/>
    <w:rsid w:val="00B853E0"/>
    <w:rsid w:val="00B85B36"/>
    <w:rsid w:val="00B95480"/>
    <w:rsid w:val="00BA0CA4"/>
    <w:rsid w:val="00BB0FE1"/>
    <w:rsid w:val="00BB6224"/>
    <w:rsid w:val="00BC2F9D"/>
    <w:rsid w:val="00BD4308"/>
    <w:rsid w:val="00BD50F2"/>
    <w:rsid w:val="00BD75DE"/>
    <w:rsid w:val="00BE1457"/>
    <w:rsid w:val="00BE251D"/>
    <w:rsid w:val="00BE56FB"/>
    <w:rsid w:val="00BE7593"/>
    <w:rsid w:val="00BF27A9"/>
    <w:rsid w:val="00BF3163"/>
    <w:rsid w:val="00C0113C"/>
    <w:rsid w:val="00C04382"/>
    <w:rsid w:val="00C0637D"/>
    <w:rsid w:val="00C104D7"/>
    <w:rsid w:val="00C123CD"/>
    <w:rsid w:val="00C17044"/>
    <w:rsid w:val="00C30FF4"/>
    <w:rsid w:val="00C31B69"/>
    <w:rsid w:val="00C31E69"/>
    <w:rsid w:val="00C34973"/>
    <w:rsid w:val="00C37AA4"/>
    <w:rsid w:val="00C40C0C"/>
    <w:rsid w:val="00C41D35"/>
    <w:rsid w:val="00C42F73"/>
    <w:rsid w:val="00C441B1"/>
    <w:rsid w:val="00C55D27"/>
    <w:rsid w:val="00C639F5"/>
    <w:rsid w:val="00C64551"/>
    <w:rsid w:val="00C75483"/>
    <w:rsid w:val="00C774C9"/>
    <w:rsid w:val="00C80F60"/>
    <w:rsid w:val="00C85C25"/>
    <w:rsid w:val="00C94073"/>
    <w:rsid w:val="00C95588"/>
    <w:rsid w:val="00CB433E"/>
    <w:rsid w:val="00CD2529"/>
    <w:rsid w:val="00CE4845"/>
    <w:rsid w:val="00CE5BCF"/>
    <w:rsid w:val="00CF3A2F"/>
    <w:rsid w:val="00CF7854"/>
    <w:rsid w:val="00D01340"/>
    <w:rsid w:val="00D1256F"/>
    <w:rsid w:val="00D12ED1"/>
    <w:rsid w:val="00D1505D"/>
    <w:rsid w:val="00D15253"/>
    <w:rsid w:val="00D20633"/>
    <w:rsid w:val="00D27DEE"/>
    <w:rsid w:val="00D42054"/>
    <w:rsid w:val="00D56509"/>
    <w:rsid w:val="00D6511E"/>
    <w:rsid w:val="00D706E2"/>
    <w:rsid w:val="00D74618"/>
    <w:rsid w:val="00D76492"/>
    <w:rsid w:val="00D82012"/>
    <w:rsid w:val="00DA0025"/>
    <w:rsid w:val="00DA32F2"/>
    <w:rsid w:val="00DA33C4"/>
    <w:rsid w:val="00DA455C"/>
    <w:rsid w:val="00DB2BD0"/>
    <w:rsid w:val="00DC200D"/>
    <w:rsid w:val="00DD6BA8"/>
    <w:rsid w:val="00E05787"/>
    <w:rsid w:val="00E13AA3"/>
    <w:rsid w:val="00E201F7"/>
    <w:rsid w:val="00E32454"/>
    <w:rsid w:val="00E35342"/>
    <w:rsid w:val="00E4774F"/>
    <w:rsid w:val="00E51156"/>
    <w:rsid w:val="00E6049D"/>
    <w:rsid w:val="00E6275F"/>
    <w:rsid w:val="00E65358"/>
    <w:rsid w:val="00E86439"/>
    <w:rsid w:val="00E90586"/>
    <w:rsid w:val="00E95B51"/>
    <w:rsid w:val="00EC1322"/>
    <w:rsid w:val="00ED6596"/>
    <w:rsid w:val="00EE09FF"/>
    <w:rsid w:val="00F01375"/>
    <w:rsid w:val="00F05CAA"/>
    <w:rsid w:val="00F07346"/>
    <w:rsid w:val="00F217E0"/>
    <w:rsid w:val="00F30C89"/>
    <w:rsid w:val="00F362D2"/>
    <w:rsid w:val="00F369CD"/>
    <w:rsid w:val="00F46C0D"/>
    <w:rsid w:val="00F470ED"/>
    <w:rsid w:val="00F52127"/>
    <w:rsid w:val="00F62417"/>
    <w:rsid w:val="00F62595"/>
    <w:rsid w:val="00F65B03"/>
    <w:rsid w:val="00F94DDB"/>
    <w:rsid w:val="00FA35BC"/>
    <w:rsid w:val="00FA5699"/>
    <w:rsid w:val="00FA59FC"/>
    <w:rsid w:val="00FB4F43"/>
    <w:rsid w:val="00FB7FA7"/>
    <w:rsid w:val="00FC49C0"/>
    <w:rsid w:val="00FC5A7C"/>
    <w:rsid w:val="00FD1B10"/>
    <w:rsid w:val="00FD1B77"/>
    <w:rsid w:val="00FE1CA8"/>
    <w:rsid w:val="00FE44F6"/>
    <w:rsid w:val="00FF47FA"/>
    <w:rsid w:val="00FF5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4"/>
    <w:pPr>
      <w:spacing w:after="120"/>
      <w:jc w:val="both"/>
    </w:pPr>
    <w:rPr>
      <w:sz w:val="24"/>
      <w:szCs w:val="24"/>
      <w:lang w:val="el-GR" w:eastAsia="el-GR"/>
    </w:rPr>
  </w:style>
  <w:style w:type="paragraph" w:styleId="Heading1">
    <w:name w:val="heading 1"/>
    <w:basedOn w:val="Normal"/>
    <w:next w:val="Normal"/>
    <w:autoRedefine/>
    <w:qFormat/>
    <w:rsid w:val="00822E7B"/>
    <w:pPr>
      <w:keepNext/>
      <w:pageBreakBefore/>
      <w:numPr>
        <w:numId w:val="44"/>
      </w:numPr>
      <w:spacing w:before="240" w:after="240"/>
      <w:jc w:val="center"/>
      <w:outlineLvl w:val="0"/>
    </w:pPr>
    <w:rPr>
      <w:rFonts w:ascii="Arial" w:hAnsi="Arial" w:cs="Arial"/>
      <w:b/>
      <w:bCs/>
      <w:color w:val="FF0000"/>
      <w:kern w:val="32"/>
      <w:sz w:val="32"/>
      <w:szCs w:val="32"/>
    </w:rPr>
  </w:style>
  <w:style w:type="paragraph" w:styleId="Heading2">
    <w:name w:val="heading 2"/>
    <w:basedOn w:val="Normal"/>
    <w:next w:val="Normal"/>
    <w:autoRedefine/>
    <w:qFormat/>
    <w:rsid w:val="003C02BD"/>
    <w:pPr>
      <w:keepNext/>
      <w:numPr>
        <w:ilvl w:val="1"/>
        <w:numId w:val="41"/>
      </w:numPr>
      <w:spacing w:before="480" w:after="60"/>
      <w:ind w:hanging="705"/>
      <w:outlineLvl w:val="1"/>
    </w:pPr>
    <w:rPr>
      <w:rFonts w:ascii="Arial" w:hAnsi="Arial" w:cs="Arial"/>
      <w:b/>
      <w:bCs/>
      <w:iCs/>
      <w:color w:val="0000FF"/>
      <w:sz w:val="28"/>
      <w:szCs w:val="28"/>
    </w:rPr>
  </w:style>
  <w:style w:type="paragraph" w:styleId="Heading3">
    <w:name w:val="heading 3"/>
    <w:basedOn w:val="Heading2"/>
    <w:next w:val="Normal"/>
    <w:link w:val="Heading3Char"/>
    <w:autoRedefine/>
    <w:qFormat/>
    <w:rsid w:val="003C02BD"/>
    <w:pPr>
      <w:numPr>
        <w:ilvl w:val="2"/>
        <w:numId w:val="44"/>
      </w:numPr>
      <w:tabs>
        <w:tab w:val="clear" w:pos="822"/>
        <w:tab w:val="num" w:pos="964"/>
      </w:tabs>
      <w:spacing w:before="240"/>
      <w:ind w:left="964" w:hanging="964"/>
      <w:jc w:val="left"/>
      <w:outlineLvl w:val="2"/>
    </w:pPr>
    <w:rPr>
      <w:bCs w:val="0"/>
      <w:color w:val="008000"/>
      <w:sz w:val="24"/>
    </w:rPr>
  </w:style>
  <w:style w:type="paragraph" w:styleId="Heading4">
    <w:name w:val="heading 4"/>
    <w:basedOn w:val="Normal"/>
    <w:next w:val="Normal"/>
    <w:autoRedefine/>
    <w:qFormat/>
    <w:rsid w:val="00CE4845"/>
    <w:pPr>
      <w:keepNext/>
      <w:numPr>
        <w:ilvl w:val="3"/>
        <w:numId w:val="44"/>
      </w:numPr>
      <w:tabs>
        <w:tab w:val="left" w:pos="810"/>
      </w:tabs>
      <w:spacing w:before="240"/>
      <w:jc w:val="left"/>
      <w:outlineLvl w:val="3"/>
    </w:pPr>
    <w:rPr>
      <w:rFonts w:ascii="Arial" w:hAnsi="Arial" w:cs="Arial"/>
      <w:b/>
      <w:iCs/>
      <w:color w:val="984806" w:themeColor="accent6" w:themeShade="80"/>
      <w:sz w:val="20"/>
      <w:szCs w:val="20"/>
    </w:rPr>
  </w:style>
  <w:style w:type="paragraph" w:styleId="Heading5">
    <w:name w:val="heading 5"/>
    <w:basedOn w:val="Normal"/>
    <w:next w:val="Normal"/>
    <w:link w:val="Heading5Char"/>
    <w:qFormat/>
    <w:rsid w:val="00A358F4"/>
    <w:pPr>
      <w:spacing w:before="240" w:after="60"/>
      <w:outlineLvl w:val="4"/>
    </w:pPr>
    <w:rPr>
      <w:b/>
      <w:bCs/>
      <w:i/>
      <w:iCs/>
      <w:sz w:val="26"/>
      <w:szCs w:val="26"/>
    </w:rPr>
  </w:style>
  <w:style w:type="paragraph" w:styleId="Heading6">
    <w:name w:val="heading 6"/>
    <w:basedOn w:val="Normal"/>
    <w:next w:val="Normal"/>
    <w:uiPriority w:val="9"/>
    <w:qFormat/>
    <w:rsid w:val="00A358F4"/>
    <w:pPr>
      <w:spacing w:before="240" w:after="60"/>
      <w:jc w:val="left"/>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F0734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734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734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358F4"/>
    <w:pPr>
      <w:shd w:val="clear" w:color="auto" w:fill="000080"/>
    </w:pPr>
    <w:rPr>
      <w:rFonts w:ascii="Tahoma" w:hAnsi="Tahoma" w:cs="Tahoma"/>
      <w:sz w:val="20"/>
      <w:szCs w:val="20"/>
    </w:rPr>
  </w:style>
  <w:style w:type="paragraph" w:customStyle="1" w:styleId="NormalFrame">
    <w:name w:val="NormalFrame"/>
    <w:autoRedefine/>
    <w:rsid w:val="00A358F4"/>
    <w:pPr>
      <w:pBdr>
        <w:top w:val="single" w:sz="4" w:space="1" w:color="C0C0C0"/>
        <w:left w:val="single" w:sz="4" w:space="1" w:color="C0C0C0"/>
        <w:bottom w:val="single" w:sz="4" w:space="1" w:color="C0C0C0"/>
        <w:right w:val="single" w:sz="4" w:space="1" w:color="C0C0C0"/>
      </w:pBdr>
    </w:pPr>
    <w:rPr>
      <w:sz w:val="24"/>
      <w:szCs w:val="24"/>
      <w:lang w:val="en-GB" w:eastAsia="el-GR"/>
    </w:rPr>
  </w:style>
  <w:style w:type="character" w:customStyle="1" w:styleId="Heading4Char">
    <w:name w:val="Heading 4 Char"/>
    <w:basedOn w:val="DefaultParagraphFont"/>
    <w:rsid w:val="00A358F4"/>
    <w:rPr>
      <w:rFonts w:ascii="Arial" w:hAnsi="Arial" w:cs="Arial"/>
      <w:b/>
      <w:bCs/>
      <w:color w:val="993300"/>
      <w:lang w:val="el-GR" w:eastAsia="el-GR" w:bidi="ar-SA"/>
    </w:rPr>
  </w:style>
  <w:style w:type="paragraph" w:styleId="TOC1">
    <w:name w:val="toc 1"/>
    <w:basedOn w:val="Normal"/>
    <w:next w:val="Normal"/>
    <w:autoRedefine/>
    <w:uiPriority w:val="39"/>
    <w:rsid w:val="007169D1"/>
    <w:pPr>
      <w:spacing w:before="240" w:after="0"/>
    </w:pPr>
  </w:style>
  <w:style w:type="paragraph" w:styleId="TOC2">
    <w:name w:val="toc 2"/>
    <w:basedOn w:val="Normal"/>
    <w:next w:val="Normal"/>
    <w:autoRedefine/>
    <w:uiPriority w:val="39"/>
    <w:rsid w:val="00A358F4"/>
    <w:pPr>
      <w:tabs>
        <w:tab w:val="left" w:pos="840"/>
        <w:tab w:val="right" w:leader="dot" w:pos="8493"/>
      </w:tabs>
      <w:ind w:left="240"/>
    </w:pPr>
    <w:rPr>
      <w:b/>
      <w:noProof/>
    </w:rPr>
  </w:style>
  <w:style w:type="paragraph" w:styleId="TOC3">
    <w:name w:val="toc 3"/>
    <w:basedOn w:val="Normal"/>
    <w:next w:val="Normal"/>
    <w:autoRedefine/>
    <w:uiPriority w:val="39"/>
    <w:rsid w:val="00A358F4"/>
    <w:pPr>
      <w:tabs>
        <w:tab w:val="left" w:pos="1200"/>
        <w:tab w:val="right" w:leader="dot" w:pos="8493"/>
      </w:tabs>
      <w:ind w:left="480"/>
    </w:pPr>
    <w:rPr>
      <w:noProof/>
    </w:rPr>
  </w:style>
  <w:style w:type="paragraph" w:styleId="TOC4">
    <w:name w:val="toc 4"/>
    <w:basedOn w:val="Normal"/>
    <w:next w:val="Normal"/>
    <w:autoRedefine/>
    <w:uiPriority w:val="39"/>
    <w:rsid w:val="00A358F4"/>
    <w:pPr>
      <w:tabs>
        <w:tab w:val="left" w:pos="1560"/>
        <w:tab w:val="right" w:leader="dot" w:pos="8493"/>
      </w:tabs>
      <w:ind w:left="720"/>
    </w:pPr>
    <w:rPr>
      <w:i/>
      <w:noProof/>
    </w:rPr>
  </w:style>
  <w:style w:type="character" w:styleId="Hyperlink">
    <w:name w:val="Hyperlink"/>
    <w:basedOn w:val="DefaultParagraphFont"/>
    <w:uiPriority w:val="99"/>
    <w:rsid w:val="00A358F4"/>
    <w:rPr>
      <w:color w:val="0000FF"/>
      <w:u w:val="single"/>
    </w:rPr>
  </w:style>
  <w:style w:type="paragraph" w:styleId="BodyTextIndent2">
    <w:name w:val="Body Text Indent 2"/>
    <w:basedOn w:val="Normal"/>
    <w:semiHidden/>
    <w:rsid w:val="00A358F4"/>
    <w:pPr>
      <w:spacing w:after="0"/>
      <w:ind w:left="360"/>
      <w:jc w:val="left"/>
    </w:pPr>
    <w:rPr>
      <w:rFonts w:ascii="Comic Sans MS" w:hAnsi="Comic Sans MS"/>
      <w:bCs/>
      <w:sz w:val="22"/>
      <w:szCs w:val="20"/>
      <w:lang w:eastAsia="en-US"/>
    </w:rPr>
  </w:style>
  <w:style w:type="paragraph" w:styleId="NormalWeb">
    <w:name w:val="Normal (Web)"/>
    <w:basedOn w:val="Normal"/>
    <w:semiHidden/>
    <w:rsid w:val="00A358F4"/>
    <w:pPr>
      <w:spacing w:before="100" w:beforeAutospacing="1" w:after="100" w:afterAutospacing="1"/>
      <w:jc w:val="left"/>
    </w:pPr>
    <w:rPr>
      <w:rFonts w:ascii="Arial Unicode MS" w:eastAsia="Arial Unicode MS" w:hAnsi="Arial Unicode MS" w:cs="Arial Unicode MS"/>
      <w:lang w:val="en-GB" w:eastAsia="en-US"/>
    </w:rPr>
  </w:style>
  <w:style w:type="paragraph" w:styleId="BodyText">
    <w:name w:val="Body Text"/>
    <w:basedOn w:val="Normal"/>
    <w:link w:val="BodyTextChar"/>
    <w:semiHidden/>
    <w:rsid w:val="00A358F4"/>
    <w:rPr>
      <w:i/>
      <w:iCs/>
      <w:sz w:val="28"/>
    </w:rPr>
  </w:style>
  <w:style w:type="paragraph" w:styleId="BodyText2">
    <w:name w:val="Body Text 2"/>
    <w:basedOn w:val="Normal"/>
    <w:link w:val="BodyText2Char"/>
    <w:semiHidden/>
    <w:rsid w:val="00A358F4"/>
    <w:pPr>
      <w:shd w:val="clear" w:color="auto" w:fill="E6E6E6"/>
    </w:pPr>
    <w:rPr>
      <w:rFonts w:ascii="Arial Black" w:hAnsi="Arial Black"/>
    </w:rPr>
  </w:style>
  <w:style w:type="paragraph" w:styleId="Header">
    <w:name w:val="header"/>
    <w:basedOn w:val="Normal"/>
    <w:link w:val="HeaderChar"/>
    <w:semiHidden/>
    <w:rsid w:val="00A358F4"/>
    <w:pPr>
      <w:tabs>
        <w:tab w:val="center" w:pos="4153"/>
        <w:tab w:val="right" w:pos="8306"/>
      </w:tabs>
    </w:pPr>
  </w:style>
  <w:style w:type="paragraph" w:styleId="Footer">
    <w:name w:val="footer"/>
    <w:basedOn w:val="Normal"/>
    <w:link w:val="FooterChar"/>
    <w:uiPriority w:val="99"/>
    <w:rsid w:val="00A358F4"/>
    <w:pPr>
      <w:tabs>
        <w:tab w:val="center" w:pos="4153"/>
        <w:tab w:val="right" w:pos="8306"/>
      </w:tabs>
    </w:pPr>
  </w:style>
  <w:style w:type="paragraph" w:styleId="BodyText3">
    <w:name w:val="Body Text 3"/>
    <w:basedOn w:val="Normal"/>
    <w:semiHidden/>
    <w:rsid w:val="00A358F4"/>
    <w:pPr>
      <w:ind w:right="26"/>
    </w:pPr>
  </w:style>
  <w:style w:type="paragraph" w:styleId="Caption">
    <w:name w:val="caption"/>
    <w:basedOn w:val="Normal"/>
    <w:next w:val="Normal"/>
    <w:qFormat/>
    <w:rsid w:val="00A358F4"/>
    <w:pPr>
      <w:spacing w:before="120"/>
      <w:jc w:val="left"/>
    </w:pPr>
    <w:rPr>
      <w:b/>
      <w:bCs/>
      <w:sz w:val="20"/>
      <w:szCs w:val="20"/>
      <w:lang w:val="en-GB" w:eastAsia="en-US"/>
    </w:rPr>
  </w:style>
  <w:style w:type="paragraph" w:styleId="Title">
    <w:name w:val="Title"/>
    <w:basedOn w:val="Normal"/>
    <w:qFormat/>
    <w:rsid w:val="00A358F4"/>
    <w:pPr>
      <w:spacing w:after="0"/>
      <w:jc w:val="center"/>
    </w:pPr>
    <w:rPr>
      <w:rFonts w:ascii="Arial" w:hAnsi="Arial" w:cs="Arial"/>
      <w:b/>
      <w:bCs/>
      <w:sz w:val="22"/>
      <w:szCs w:val="20"/>
      <w:u w:val="single"/>
      <w:lang w:eastAsia="en-US"/>
    </w:rPr>
  </w:style>
  <w:style w:type="paragraph" w:styleId="BodyTextIndent">
    <w:name w:val="Body Text Indent"/>
    <w:basedOn w:val="Normal"/>
    <w:semiHidden/>
    <w:rsid w:val="00A358F4"/>
    <w:pPr>
      <w:ind w:left="360"/>
    </w:pPr>
    <w:rPr>
      <w:rFonts w:cs="Arial"/>
      <w:szCs w:val="22"/>
    </w:rPr>
  </w:style>
  <w:style w:type="paragraph" w:styleId="ListParagraph">
    <w:name w:val="List Paragraph"/>
    <w:basedOn w:val="Normal"/>
    <w:uiPriority w:val="34"/>
    <w:qFormat/>
    <w:rsid w:val="0034537E"/>
    <w:pPr>
      <w:spacing w:after="0"/>
      <w:ind w:left="720"/>
      <w:contextualSpacing/>
      <w:jc w:val="left"/>
    </w:pPr>
    <w:rPr>
      <w:lang w:val="en-GB" w:eastAsia="en-US"/>
    </w:rPr>
  </w:style>
  <w:style w:type="paragraph" w:customStyle="1" w:styleId="TableNormal1">
    <w:name w:val="Table Normal1"/>
    <w:basedOn w:val="Normal"/>
    <w:rsid w:val="0034537E"/>
    <w:pPr>
      <w:keepNext/>
      <w:spacing w:before="40" w:after="40"/>
      <w:jc w:val="center"/>
    </w:pPr>
    <w:rPr>
      <w:rFonts w:ascii="Arial" w:hAnsi="Arial"/>
      <w:sz w:val="18"/>
      <w:szCs w:val="18"/>
    </w:rPr>
  </w:style>
  <w:style w:type="character" w:customStyle="1" w:styleId="HeaderChar">
    <w:name w:val="Header Char"/>
    <w:basedOn w:val="DefaultParagraphFont"/>
    <w:link w:val="Header"/>
    <w:semiHidden/>
    <w:rsid w:val="001A5D67"/>
    <w:rPr>
      <w:sz w:val="24"/>
      <w:szCs w:val="24"/>
      <w:lang w:val="el-GR" w:eastAsia="el-GR"/>
    </w:rPr>
  </w:style>
  <w:style w:type="paragraph" w:styleId="ListBullet">
    <w:name w:val="List Bullet"/>
    <w:basedOn w:val="Normal"/>
    <w:autoRedefine/>
    <w:rsid w:val="00AC54F3"/>
    <w:pPr>
      <w:numPr>
        <w:numId w:val="4"/>
      </w:numPr>
      <w:spacing w:after="0"/>
    </w:pPr>
    <w:rPr>
      <w:szCs w:val="20"/>
      <w:lang w:eastAsia="en-US"/>
    </w:rPr>
  </w:style>
  <w:style w:type="character" w:customStyle="1" w:styleId="text6">
    <w:name w:val="text6"/>
    <w:basedOn w:val="DefaultParagraphFont"/>
    <w:rsid w:val="00572CA0"/>
    <w:rPr>
      <w:rFonts w:ascii="Verdana" w:hAnsi="Verdana" w:hint="default"/>
      <w:b w:val="0"/>
      <w:bCs w:val="0"/>
      <w:color w:val="333333"/>
      <w:sz w:val="18"/>
      <w:szCs w:val="18"/>
    </w:rPr>
  </w:style>
  <w:style w:type="character" w:customStyle="1" w:styleId="BodyTextChar">
    <w:name w:val="Body Text Char"/>
    <w:basedOn w:val="DefaultParagraphFont"/>
    <w:link w:val="BodyText"/>
    <w:semiHidden/>
    <w:rsid w:val="000563B5"/>
    <w:rPr>
      <w:i/>
      <w:iCs/>
      <w:sz w:val="28"/>
      <w:szCs w:val="24"/>
      <w:lang w:val="el-GR" w:eastAsia="el-GR"/>
    </w:rPr>
  </w:style>
  <w:style w:type="character" w:customStyle="1" w:styleId="Heading5Char">
    <w:name w:val="Heading 5 Char"/>
    <w:basedOn w:val="DefaultParagraphFont"/>
    <w:link w:val="Heading5"/>
    <w:rsid w:val="009201F2"/>
    <w:rPr>
      <w:b/>
      <w:bCs/>
      <w:i/>
      <w:iCs/>
      <w:sz w:val="26"/>
      <w:szCs w:val="26"/>
      <w:lang w:val="el-GR" w:eastAsia="el-GR"/>
    </w:rPr>
  </w:style>
  <w:style w:type="character" w:customStyle="1" w:styleId="BodyText2Char">
    <w:name w:val="Body Text 2 Char"/>
    <w:basedOn w:val="DefaultParagraphFont"/>
    <w:link w:val="BodyText2"/>
    <w:semiHidden/>
    <w:rsid w:val="009201F2"/>
    <w:rPr>
      <w:rFonts w:ascii="Arial Black" w:hAnsi="Arial Black"/>
      <w:sz w:val="24"/>
      <w:szCs w:val="24"/>
      <w:shd w:val="clear" w:color="auto" w:fill="E6E6E6"/>
      <w:lang w:val="el-GR" w:eastAsia="el-GR"/>
    </w:rPr>
  </w:style>
  <w:style w:type="character" w:customStyle="1" w:styleId="Heading3Char">
    <w:name w:val="Heading 3 Char"/>
    <w:basedOn w:val="DefaultParagraphFont"/>
    <w:link w:val="Heading3"/>
    <w:rsid w:val="003C02BD"/>
    <w:rPr>
      <w:rFonts w:ascii="Arial" w:hAnsi="Arial" w:cs="Arial"/>
      <w:b/>
      <w:iCs/>
      <w:color w:val="008000"/>
      <w:sz w:val="24"/>
      <w:szCs w:val="28"/>
      <w:lang w:val="el-GR" w:eastAsia="el-GR"/>
    </w:rPr>
  </w:style>
  <w:style w:type="paragraph" w:styleId="BalloonText">
    <w:name w:val="Balloon Text"/>
    <w:basedOn w:val="Normal"/>
    <w:link w:val="BalloonTextChar"/>
    <w:uiPriority w:val="99"/>
    <w:semiHidden/>
    <w:unhideWhenUsed/>
    <w:rsid w:val="00E324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54"/>
    <w:rPr>
      <w:rFonts w:ascii="Tahoma" w:hAnsi="Tahoma" w:cs="Tahoma"/>
      <w:sz w:val="16"/>
      <w:szCs w:val="16"/>
      <w:lang w:val="el-GR" w:eastAsia="el-GR"/>
    </w:rPr>
  </w:style>
  <w:style w:type="character" w:customStyle="1" w:styleId="Heading7Char">
    <w:name w:val="Heading 7 Char"/>
    <w:basedOn w:val="DefaultParagraphFont"/>
    <w:link w:val="Heading7"/>
    <w:uiPriority w:val="9"/>
    <w:semiHidden/>
    <w:rsid w:val="00F07346"/>
    <w:rPr>
      <w:rFonts w:asciiTheme="majorHAnsi" w:eastAsiaTheme="majorEastAsia" w:hAnsiTheme="majorHAnsi" w:cstheme="majorBidi"/>
      <w:i/>
      <w:iCs/>
      <w:color w:val="404040" w:themeColor="text1" w:themeTint="BF"/>
      <w:sz w:val="24"/>
      <w:szCs w:val="24"/>
      <w:lang w:val="el-GR" w:eastAsia="el-GR"/>
    </w:rPr>
  </w:style>
  <w:style w:type="character" w:customStyle="1" w:styleId="Heading8Char">
    <w:name w:val="Heading 8 Char"/>
    <w:basedOn w:val="DefaultParagraphFont"/>
    <w:link w:val="Heading8"/>
    <w:uiPriority w:val="9"/>
    <w:semiHidden/>
    <w:rsid w:val="00F07346"/>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F07346"/>
    <w:rPr>
      <w:rFonts w:asciiTheme="majorHAnsi" w:eastAsiaTheme="majorEastAsia" w:hAnsiTheme="majorHAnsi" w:cstheme="majorBidi"/>
      <w:i/>
      <w:iCs/>
      <w:color w:val="404040" w:themeColor="text1" w:themeTint="BF"/>
      <w:lang w:val="el-GR" w:eastAsia="el-GR"/>
    </w:rPr>
  </w:style>
  <w:style w:type="character" w:styleId="PageNumber">
    <w:name w:val="page number"/>
    <w:basedOn w:val="DefaultParagraphFont"/>
    <w:uiPriority w:val="99"/>
    <w:semiHidden/>
    <w:unhideWhenUsed/>
    <w:rsid w:val="000646A5"/>
  </w:style>
  <w:style w:type="numbering" w:customStyle="1" w:styleId="Style1">
    <w:name w:val="Style1"/>
    <w:uiPriority w:val="99"/>
    <w:rsid w:val="00822E7B"/>
    <w:pPr>
      <w:numPr>
        <w:numId w:val="39"/>
      </w:numPr>
    </w:pPr>
  </w:style>
  <w:style w:type="numbering" w:customStyle="1" w:styleId="Style2">
    <w:name w:val="Style2"/>
    <w:uiPriority w:val="99"/>
    <w:rsid w:val="00822E7B"/>
    <w:pPr>
      <w:numPr>
        <w:numId w:val="43"/>
      </w:numPr>
    </w:pPr>
  </w:style>
  <w:style w:type="character" w:customStyle="1" w:styleId="FooterChar">
    <w:name w:val="Footer Char"/>
    <w:basedOn w:val="DefaultParagraphFont"/>
    <w:link w:val="Footer"/>
    <w:uiPriority w:val="99"/>
    <w:rsid w:val="00D706E2"/>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4"/>
    <w:pPr>
      <w:spacing w:after="120"/>
      <w:jc w:val="both"/>
    </w:pPr>
    <w:rPr>
      <w:sz w:val="24"/>
      <w:szCs w:val="24"/>
      <w:lang w:val="el-GR" w:eastAsia="el-GR"/>
    </w:rPr>
  </w:style>
  <w:style w:type="paragraph" w:styleId="Heading1">
    <w:name w:val="heading 1"/>
    <w:basedOn w:val="Normal"/>
    <w:next w:val="Normal"/>
    <w:autoRedefine/>
    <w:qFormat/>
    <w:rsid w:val="00822E7B"/>
    <w:pPr>
      <w:keepNext/>
      <w:pageBreakBefore/>
      <w:numPr>
        <w:numId w:val="44"/>
      </w:numPr>
      <w:spacing w:before="240" w:after="240"/>
      <w:jc w:val="center"/>
      <w:outlineLvl w:val="0"/>
    </w:pPr>
    <w:rPr>
      <w:rFonts w:ascii="Arial" w:hAnsi="Arial" w:cs="Arial"/>
      <w:b/>
      <w:bCs/>
      <w:color w:val="FF0000"/>
      <w:kern w:val="32"/>
      <w:sz w:val="32"/>
      <w:szCs w:val="32"/>
    </w:rPr>
  </w:style>
  <w:style w:type="paragraph" w:styleId="Heading2">
    <w:name w:val="heading 2"/>
    <w:basedOn w:val="Normal"/>
    <w:next w:val="Normal"/>
    <w:autoRedefine/>
    <w:qFormat/>
    <w:rsid w:val="003C02BD"/>
    <w:pPr>
      <w:keepNext/>
      <w:numPr>
        <w:ilvl w:val="1"/>
        <w:numId w:val="41"/>
      </w:numPr>
      <w:spacing w:before="480" w:after="60"/>
      <w:ind w:hanging="705"/>
      <w:outlineLvl w:val="1"/>
    </w:pPr>
    <w:rPr>
      <w:rFonts w:ascii="Arial" w:hAnsi="Arial" w:cs="Arial"/>
      <w:b/>
      <w:bCs/>
      <w:iCs/>
      <w:color w:val="0000FF"/>
      <w:sz w:val="28"/>
      <w:szCs w:val="28"/>
    </w:rPr>
  </w:style>
  <w:style w:type="paragraph" w:styleId="Heading3">
    <w:name w:val="heading 3"/>
    <w:basedOn w:val="Heading2"/>
    <w:next w:val="Normal"/>
    <w:link w:val="Heading3Char"/>
    <w:autoRedefine/>
    <w:qFormat/>
    <w:rsid w:val="003C02BD"/>
    <w:pPr>
      <w:numPr>
        <w:ilvl w:val="2"/>
        <w:numId w:val="44"/>
      </w:numPr>
      <w:tabs>
        <w:tab w:val="clear" w:pos="822"/>
        <w:tab w:val="num" w:pos="964"/>
      </w:tabs>
      <w:spacing w:before="240"/>
      <w:ind w:left="964" w:hanging="964"/>
      <w:jc w:val="left"/>
      <w:outlineLvl w:val="2"/>
    </w:pPr>
    <w:rPr>
      <w:bCs w:val="0"/>
      <w:color w:val="008000"/>
      <w:sz w:val="24"/>
    </w:rPr>
  </w:style>
  <w:style w:type="paragraph" w:styleId="Heading4">
    <w:name w:val="heading 4"/>
    <w:basedOn w:val="Normal"/>
    <w:next w:val="Normal"/>
    <w:autoRedefine/>
    <w:qFormat/>
    <w:rsid w:val="00CE4845"/>
    <w:pPr>
      <w:keepNext/>
      <w:numPr>
        <w:ilvl w:val="3"/>
        <w:numId w:val="44"/>
      </w:numPr>
      <w:tabs>
        <w:tab w:val="left" w:pos="810"/>
      </w:tabs>
      <w:spacing w:before="240"/>
      <w:jc w:val="left"/>
      <w:outlineLvl w:val="3"/>
    </w:pPr>
    <w:rPr>
      <w:rFonts w:ascii="Arial" w:hAnsi="Arial" w:cs="Arial"/>
      <w:b/>
      <w:iCs/>
      <w:color w:val="984806" w:themeColor="accent6" w:themeShade="80"/>
      <w:sz w:val="20"/>
      <w:szCs w:val="20"/>
    </w:rPr>
  </w:style>
  <w:style w:type="paragraph" w:styleId="Heading5">
    <w:name w:val="heading 5"/>
    <w:basedOn w:val="Normal"/>
    <w:next w:val="Normal"/>
    <w:link w:val="Heading5Char"/>
    <w:qFormat/>
    <w:rsid w:val="00A358F4"/>
    <w:pPr>
      <w:spacing w:before="240" w:after="60"/>
      <w:outlineLvl w:val="4"/>
    </w:pPr>
    <w:rPr>
      <w:b/>
      <w:bCs/>
      <w:i/>
      <w:iCs/>
      <w:sz w:val="26"/>
      <w:szCs w:val="26"/>
    </w:rPr>
  </w:style>
  <w:style w:type="paragraph" w:styleId="Heading6">
    <w:name w:val="heading 6"/>
    <w:basedOn w:val="Normal"/>
    <w:next w:val="Normal"/>
    <w:uiPriority w:val="9"/>
    <w:qFormat/>
    <w:rsid w:val="00A358F4"/>
    <w:pPr>
      <w:spacing w:before="240" w:after="60"/>
      <w:jc w:val="left"/>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F0734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734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734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358F4"/>
    <w:pPr>
      <w:shd w:val="clear" w:color="auto" w:fill="000080"/>
    </w:pPr>
    <w:rPr>
      <w:rFonts w:ascii="Tahoma" w:hAnsi="Tahoma" w:cs="Tahoma"/>
      <w:sz w:val="20"/>
      <w:szCs w:val="20"/>
    </w:rPr>
  </w:style>
  <w:style w:type="paragraph" w:customStyle="1" w:styleId="NormalFrame">
    <w:name w:val="NormalFrame"/>
    <w:autoRedefine/>
    <w:rsid w:val="00A358F4"/>
    <w:pPr>
      <w:pBdr>
        <w:top w:val="single" w:sz="4" w:space="1" w:color="C0C0C0"/>
        <w:left w:val="single" w:sz="4" w:space="1" w:color="C0C0C0"/>
        <w:bottom w:val="single" w:sz="4" w:space="1" w:color="C0C0C0"/>
        <w:right w:val="single" w:sz="4" w:space="1" w:color="C0C0C0"/>
      </w:pBdr>
    </w:pPr>
    <w:rPr>
      <w:sz w:val="24"/>
      <w:szCs w:val="24"/>
      <w:lang w:val="en-GB" w:eastAsia="el-GR"/>
    </w:rPr>
  </w:style>
  <w:style w:type="character" w:customStyle="1" w:styleId="Heading4Char">
    <w:name w:val="Heading 4 Char"/>
    <w:basedOn w:val="DefaultParagraphFont"/>
    <w:rsid w:val="00A358F4"/>
    <w:rPr>
      <w:rFonts w:ascii="Arial" w:hAnsi="Arial" w:cs="Arial"/>
      <w:b/>
      <w:bCs/>
      <w:color w:val="993300"/>
      <w:lang w:val="el-GR" w:eastAsia="el-GR" w:bidi="ar-SA"/>
    </w:rPr>
  </w:style>
  <w:style w:type="paragraph" w:styleId="TOC1">
    <w:name w:val="toc 1"/>
    <w:basedOn w:val="Normal"/>
    <w:next w:val="Normal"/>
    <w:autoRedefine/>
    <w:uiPriority w:val="39"/>
    <w:rsid w:val="007169D1"/>
    <w:pPr>
      <w:spacing w:before="240" w:after="0"/>
    </w:pPr>
  </w:style>
  <w:style w:type="paragraph" w:styleId="TOC2">
    <w:name w:val="toc 2"/>
    <w:basedOn w:val="Normal"/>
    <w:next w:val="Normal"/>
    <w:autoRedefine/>
    <w:uiPriority w:val="39"/>
    <w:rsid w:val="00A358F4"/>
    <w:pPr>
      <w:tabs>
        <w:tab w:val="left" w:pos="840"/>
        <w:tab w:val="right" w:leader="dot" w:pos="8493"/>
      </w:tabs>
      <w:ind w:left="240"/>
    </w:pPr>
    <w:rPr>
      <w:b/>
      <w:noProof/>
    </w:rPr>
  </w:style>
  <w:style w:type="paragraph" w:styleId="TOC3">
    <w:name w:val="toc 3"/>
    <w:basedOn w:val="Normal"/>
    <w:next w:val="Normal"/>
    <w:autoRedefine/>
    <w:uiPriority w:val="39"/>
    <w:rsid w:val="00A358F4"/>
    <w:pPr>
      <w:tabs>
        <w:tab w:val="left" w:pos="1200"/>
        <w:tab w:val="right" w:leader="dot" w:pos="8493"/>
      </w:tabs>
      <w:ind w:left="480"/>
    </w:pPr>
    <w:rPr>
      <w:noProof/>
    </w:rPr>
  </w:style>
  <w:style w:type="paragraph" w:styleId="TOC4">
    <w:name w:val="toc 4"/>
    <w:basedOn w:val="Normal"/>
    <w:next w:val="Normal"/>
    <w:autoRedefine/>
    <w:uiPriority w:val="39"/>
    <w:rsid w:val="00A358F4"/>
    <w:pPr>
      <w:tabs>
        <w:tab w:val="left" w:pos="1560"/>
        <w:tab w:val="right" w:leader="dot" w:pos="8493"/>
      </w:tabs>
      <w:ind w:left="720"/>
    </w:pPr>
    <w:rPr>
      <w:i/>
      <w:noProof/>
    </w:rPr>
  </w:style>
  <w:style w:type="character" w:styleId="Hyperlink">
    <w:name w:val="Hyperlink"/>
    <w:basedOn w:val="DefaultParagraphFont"/>
    <w:uiPriority w:val="99"/>
    <w:rsid w:val="00A358F4"/>
    <w:rPr>
      <w:color w:val="0000FF"/>
      <w:u w:val="single"/>
    </w:rPr>
  </w:style>
  <w:style w:type="paragraph" w:styleId="BodyTextIndent2">
    <w:name w:val="Body Text Indent 2"/>
    <w:basedOn w:val="Normal"/>
    <w:semiHidden/>
    <w:rsid w:val="00A358F4"/>
    <w:pPr>
      <w:spacing w:after="0"/>
      <w:ind w:left="360"/>
      <w:jc w:val="left"/>
    </w:pPr>
    <w:rPr>
      <w:rFonts w:ascii="Comic Sans MS" w:hAnsi="Comic Sans MS"/>
      <w:bCs/>
      <w:sz w:val="22"/>
      <w:szCs w:val="20"/>
      <w:lang w:eastAsia="en-US"/>
    </w:rPr>
  </w:style>
  <w:style w:type="paragraph" w:styleId="NormalWeb">
    <w:name w:val="Normal (Web)"/>
    <w:basedOn w:val="Normal"/>
    <w:semiHidden/>
    <w:rsid w:val="00A358F4"/>
    <w:pPr>
      <w:spacing w:before="100" w:beforeAutospacing="1" w:after="100" w:afterAutospacing="1"/>
      <w:jc w:val="left"/>
    </w:pPr>
    <w:rPr>
      <w:rFonts w:ascii="Arial Unicode MS" w:eastAsia="Arial Unicode MS" w:hAnsi="Arial Unicode MS" w:cs="Arial Unicode MS"/>
      <w:lang w:val="en-GB" w:eastAsia="en-US"/>
    </w:rPr>
  </w:style>
  <w:style w:type="paragraph" w:styleId="BodyText">
    <w:name w:val="Body Text"/>
    <w:basedOn w:val="Normal"/>
    <w:link w:val="BodyTextChar"/>
    <w:semiHidden/>
    <w:rsid w:val="00A358F4"/>
    <w:rPr>
      <w:i/>
      <w:iCs/>
      <w:sz w:val="28"/>
    </w:rPr>
  </w:style>
  <w:style w:type="paragraph" w:styleId="BodyText2">
    <w:name w:val="Body Text 2"/>
    <w:basedOn w:val="Normal"/>
    <w:link w:val="BodyText2Char"/>
    <w:semiHidden/>
    <w:rsid w:val="00A358F4"/>
    <w:pPr>
      <w:shd w:val="clear" w:color="auto" w:fill="E6E6E6"/>
    </w:pPr>
    <w:rPr>
      <w:rFonts w:ascii="Arial Black" w:hAnsi="Arial Black"/>
    </w:rPr>
  </w:style>
  <w:style w:type="paragraph" w:styleId="Header">
    <w:name w:val="header"/>
    <w:basedOn w:val="Normal"/>
    <w:link w:val="HeaderChar"/>
    <w:semiHidden/>
    <w:rsid w:val="00A358F4"/>
    <w:pPr>
      <w:tabs>
        <w:tab w:val="center" w:pos="4153"/>
        <w:tab w:val="right" w:pos="8306"/>
      </w:tabs>
    </w:pPr>
  </w:style>
  <w:style w:type="paragraph" w:styleId="Footer">
    <w:name w:val="footer"/>
    <w:basedOn w:val="Normal"/>
    <w:link w:val="FooterChar"/>
    <w:uiPriority w:val="99"/>
    <w:rsid w:val="00A358F4"/>
    <w:pPr>
      <w:tabs>
        <w:tab w:val="center" w:pos="4153"/>
        <w:tab w:val="right" w:pos="8306"/>
      </w:tabs>
    </w:pPr>
  </w:style>
  <w:style w:type="paragraph" w:styleId="BodyText3">
    <w:name w:val="Body Text 3"/>
    <w:basedOn w:val="Normal"/>
    <w:semiHidden/>
    <w:rsid w:val="00A358F4"/>
    <w:pPr>
      <w:ind w:right="26"/>
    </w:pPr>
  </w:style>
  <w:style w:type="paragraph" w:styleId="Caption">
    <w:name w:val="caption"/>
    <w:basedOn w:val="Normal"/>
    <w:next w:val="Normal"/>
    <w:qFormat/>
    <w:rsid w:val="00A358F4"/>
    <w:pPr>
      <w:spacing w:before="120"/>
      <w:jc w:val="left"/>
    </w:pPr>
    <w:rPr>
      <w:b/>
      <w:bCs/>
      <w:sz w:val="20"/>
      <w:szCs w:val="20"/>
      <w:lang w:val="en-GB" w:eastAsia="en-US"/>
    </w:rPr>
  </w:style>
  <w:style w:type="paragraph" w:styleId="Title">
    <w:name w:val="Title"/>
    <w:basedOn w:val="Normal"/>
    <w:qFormat/>
    <w:rsid w:val="00A358F4"/>
    <w:pPr>
      <w:spacing w:after="0"/>
      <w:jc w:val="center"/>
    </w:pPr>
    <w:rPr>
      <w:rFonts w:ascii="Arial" w:hAnsi="Arial" w:cs="Arial"/>
      <w:b/>
      <w:bCs/>
      <w:sz w:val="22"/>
      <w:szCs w:val="20"/>
      <w:u w:val="single"/>
      <w:lang w:eastAsia="en-US"/>
    </w:rPr>
  </w:style>
  <w:style w:type="paragraph" w:styleId="BodyTextIndent">
    <w:name w:val="Body Text Indent"/>
    <w:basedOn w:val="Normal"/>
    <w:semiHidden/>
    <w:rsid w:val="00A358F4"/>
    <w:pPr>
      <w:ind w:left="360"/>
    </w:pPr>
    <w:rPr>
      <w:rFonts w:cs="Arial"/>
      <w:szCs w:val="22"/>
    </w:rPr>
  </w:style>
  <w:style w:type="paragraph" w:styleId="ListParagraph">
    <w:name w:val="List Paragraph"/>
    <w:basedOn w:val="Normal"/>
    <w:uiPriority w:val="34"/>
    <w:qFormat/>
    <w:rsid w:val="0034537E"/>
    <w:pPr>
      <w:spacing w:after="0"/>
      <w:ind w:left="720"/>
      <w:contextualSpacing/>
      <w:jc w:val="left"/>
    </w:pPr>
    <w:rPr>
      <w:lang w:val="en-GB" w:eastAsia="en-US"/>
    </w:rPr>
  </w:style>
  <w:style w:type="paragraph" w:customStyle="1" w:styleId="TableNormal1">
    <w:name w:val="Table Normal1"/>
    <w:basedOn w:val="Normal"/>
    <w:rsid w:val="0034537E"/>
    <w:pPr>
      <w:keepNext/>
      <w:spacing w:before="40" w:after="40"/>
      <w:jc w:val="center"/>
    </w:pPr>
    <w:rPr>
      <w:rFonts w:ascii="Arial" w:hAnsi="Arial"/>
      <w:sz w:val="18"/>
      <w:szCs w:val="18"/>
    </w:rPr>
  </w:style>
  <w:style w:type="character" w:customStyle="1" w:styleId="HeaderChar">
    <w:name w:val="Header Char"/>
    <w:basedOn w:val="DefaultParagraphFont"/>
    <w:link w:val="Header"/>
    <w:semiHidden/>
    <w:rsid w:val="001A5D67"/>
    <w:rPr>
      <w:sz w:val="24"/>
      <w:szCs w:val="24"/>
      <w:lang w:val="el-GR" w:eastAsia="el-GR"/>
    </w:rPr>
  </w:style>
  <w:style w:type="paragraph" w:styleId="ListBullet">
    <w:name w:val="List Bullet"/>
    <w:basedOn w:val="Normal"/>
    <w:autoRedefine/>
    <w:rsid w:val="00AC54F3"/>
    <w:pPr>
      <w:numPr>
        <w:numId w:val="4"/>
      </w:numPr>
      <w:spacing w:after="0"/>
    </w:pPr>
    <w:rPr>
      <w:szCs w:val="20"/>
      <w:lang w:eastAsia="en-US"/>
    </w:rPr>
  </w:style>
  <w:style w:type="character" w:customStyle="1" w:styleId="text6">
    <w:name w:val="text6"/>
    <w:basedOn w:val="DefaultParagraphFont"/>
    <w:rsid w:val="00572CA0"/>
    <w:rPr>
      <w:rFonts w:ascii="Verdana" w:hAnsi="Verdana" w:hint="default"/>
      <w:b w:val="0"/>
      <w:bCs w:val="0"/>
      <w:color w:val="333333"/>
      <w:sz w:val="18"/>
      <w:szCs w:val="18"/>
    </w:rPr>
  </w:style>
  <w:style w:type="character" w:customStyle="1" w:styleId="BodyTextChar">
    <w:name w:val="Body Text Char"/>
    <w:basedOn w:val="DefaultParagraphFont"/>
    <w:link w:val="BodyText"/>
    <w:semiHidden/>
    <w:rsid w:val="000563B5"/>
    <w:rPr>
      <w:i/>
      <w:iCs/>
      <w:sz w:val="28"/>
      <w:szCs w:val="24"/>
      <w:lang w:val="el-GR" w:eastAsia="el-GR"/>
    </w:rPr>
  </w:style>
  <w:style w:type="character" w:customStyle="1" w:styleId="Heading5Char">
    <w:name w:val="Heading 5 Char"/>
    <w:basedOn w:val="DefaultParagraphFont"/>
    <w:link w:val="Heading5"/>
    <w:rsid w:val="009201F2"/>
    <w:rPr>
      <w:b/>
      <w:bCs/>
      <w:i/>
      <w:iCs/>
      <w:sz w:val="26"/>
      <w:szCs w:val="26"/>
      <w:lang w:val="el-GR" w:eastAsia="el-GR"/>
    </w:rPr>
  </w:style>
  <w:style w:type="character" w:customStyle="1" w:styleId="BodyText2Char">
    <w:name w:val="Body Text 2 Char"/>
    <w:basedOn w:val="DefaultParagraphFont"/>
    <w:link w:val="BodyText2"/>
    <w:semiHidden/>
    <w:rsid w:val="009201F2"/>
    <w:rPr>
      <w:rFonts w:ascii="Arial Black" w:hAnsi="Arial Black"/>
      <w:sz w:val="24"/>
      <w:szCs w:val="24"/>
      <w:shd w:val="clear" w:color="auto" w:fill="E6E6E6"/>
      <w:lang w:val="el-GR" w:eastAsia="el-GR"/>
    </w:rPr>
  </w:style>
  <w:style w:type="character" w:customStyle="1" w:styleId="Heading3Char">
    <w:name w:val="Heading 3 Char"/>
    <w:basedOn w:val="DefaultParagraphFont"/>
    <w:link w:val="Heading3"/>
    <w:rsid w:val="003C02BD"/>
    <w:rPr>
      <w:rFonts w:ascii="Arial" w:hAnsi="Arial" w:cs="Arial"/>
      <w:b/>
      <w:iCs/>
      <w:color w:val="008000"/>
      <w:sz w:val="24"/>
      <w:szCs w:val="28"/>
      <w:lang w:val="el-GR" w:eastAsia="el-GR"/>
    </w:rPr>
  </w:style>
  <w:style w:type="paragraph" w:styleId="BalloonText">
    <w:name w:val="Balloon Text"/>
    <w:basedOn w:val="Normal"/>
    <w:link w:val="BalloonTextChar"/>
    <w:uiPriority w:val="99"/>
    <w:semiHidden/>
    <w:unhideWhenUsed/>
    <w:rsid w:val="00E324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54"/>
    <w:rPr>
      <w:rFonts w:ascii="Tahoma" w:hAnsi="Tahoma" w:cs="Tahoma"/>
      <w:sz w:val="16"/>
      <w:szCs w:val="16"/>
      <w:lang w:val="el-GR" w:eastAsia="el-GR"/>
    </w:rPr>
  </w:style>
  <w:style w:type="character" w:customStyle="1" w:styleId="Heading7Char">
    <w:name w:val="Heading 7 Char"/>
    <w:basedOn w:val="DefaultParagraphFont"/>
    <w:link w:val="Heading7"/>
    <w:uiPriority w:val="9"/>
    <w:semiHidden/>
    <w:rsid w:val="00F07346"/>
    <w:rPr>
      <w:rFonts w:asciiTheme="majorHAnsi" w:eastAsiaTheme="majorEastAsia" w:hAnsiTheme="majorHAnsi" w:cstheme="majorBidi"/>
      <w:i/>
      <w:iCs/>
      <w:color w:val="404040" w:themeColor="text1" w:themeTint="BF"/>
      <w:sz w:val="24"/>
      <w:szCs w:val="24"/>
      <w:lang w:val="el-GR" w:eastAsia="el-GR"/>
    </w:rPr>
  </w:style>
  <w:style w:type="character" w:customStyle="1" w:styleId="Heading8Char">
    <w:name w:val="Heading 8 Char"/>
    <w:basedOn w:val="DefaultParagraphFont"/>
    <w:link w:val="Heading8"/>
    <w:uiPriority w:val="9"/>
    <w:semiHidden/>
    <w:rsid w:val="00F07346"/>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F07346"/>
    <w:rPr>
      <w:rFonts w:asciiTheme="majorHAnsi" w:eastAsiaTheme="majorEastAsia" w:hAnsiTheme="majorHAnsi" w:cstheme="majorBidi"/>
      <w:i/>
      <w:iCs/>
      <w:color w:val="404040" w:themeColor="text1" w:themeTint="BF"/>
      <w:lang w:val="el-GR" w:eastAsia="el-GR"/>
    </w:rPr>
  </w:style>
  <w:style w:type="character" w:styleId="PageNumber">
    <w:name w:val="page number"/>
    <w:basedOn w:val="DefaultParagraphFont"/>
    <w:uiPriority w:val="99"/>
    <w:semiHidden/>
    <w:unhideWhenUsed/>
    <w:rsid w:val="000646A5"/>
  </w:style>
  <w:style w:type="numbering" w:customStyle="1" w:styleId="Style1">
    <w:name w:val="Style1"/>
    <w:uiPriority w:val="99"/>
    <w:rsid w:val="00822E7B"/>
    <w:pPr>
      <w:numPr>
        <w:numId w:val="39"/>
      </w:numPr>
    </w:pPr>
  </w:style>
  <w:style w:type="numbering" w:customStyle="1" w:styleId="Style2">
    <w:name w:val="Style2"/>
    <w:uiPriority w:val="99"/>
    <w:rsid w:val="00822E7B"/>
    <w:pPr>
      <w:numPr>
        <w:numId w:val="43"/>
      </w:numPr>
    </w:pPr>
  </w:style>
  <w:style w:type="character" w:customStyle="1" w:styleId="FooterChar">
    <w:name w:val="Footer Char"/>
    <w:basedOn w:val="DefaultParagraphFont"/>
    <w:link w:val="Footer"/>
    <w:uiPriority w:val="99"/>
    <w:rsid w:val="00D706E2"/>
    <w:rPr>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7396772">
      <w:bodyDiv w:val="1"/>
      <w:marLeft w:val="0"/>
      <w:marRight w:val="0"/>
      <w:marTop w:val="0"/>
      <w:marBottom w:val="0"/>
      <w:divBdr>
        <w:top w:val="none" w:sz="0" w:space="0" w:color="auto"/>
        <w:left w:val="none" w:sz="0" w:space="0" w:color="auto"/>
        <w:bottom w:val="none" w:sz="0" w:space="0" w:color="auto"/>
        <w:right w:val="none" w:sz="0" w:space="0" w:color="auto"/>
      </w:divBdr>
    </w:div>
    <w:div w:id="49160743">
      <w:bodyDiv w:val="1"/>
      <w:marLeft w:val="0"/>
      <w:marRight w:val="0"/>
      <w:marTop w:val="0"/>
      <w:marBottom w:val="0"/>
      <w:divBdr>
        <w:top w:val="none" w:sz="0" w:space="0" w:color="auto"/>
        <w:left w:val="none" w:sz="0" w:space="0" w:color="auto"/>
        <w:bottom w:val="none" w:sz="0" w:space="0" w:color="auto"/>
        <w:right w:val="none" w:sz="0" w:space="0" w:color="auto"/>
      </w:divBdr>
    </w:div>
    <w:div w:id="193810578">
      <w:bodyDiv w:val="1"/>
      <w:marLeft w:val="0"/>
      <w:marRight w:val="0"/>
      <w:marTop w:val="0"/>
      <w:marBottom w:val="0"/>
      <w:divBdr>
        <w:top w:val="none" w:sz="0" w:space="0" w:color="auto"/>
        <w:left w:val="none" w:sz="0" w:space="0" w:color="auto"/>
        <w:bottom w:val="none" w:sz="0" w:space="0" w:color="auto"/>
        <w:right w:val="none" w:sz="0" w:space="0" w:color="auto"/>
      </w:divBdr>
    </w:div>
    <w:div w:id="248124337">
      <w:bodyDiv w:val="1"/>
      <w:marLeft w:val="0"/>
      <w:marRight w:val="0"/>
      <w:marTop w:val="0"/>
      <w:marBottom w:val="0"/>
      <w:divBdr>
        <w:top w:val="none" w:sz="0" w:space="0" w:color="auto"/>
        <w:left w:val="none" w:sz="0" w:space="0" w:color="auto"/>
        <w:bottom w:val="none" w:sz="0" w:space="0" w:color="auto"/>
        <w:right w:val="none" w:sz="0" w:space="0" w:color="auto"/>
      </w:divBdr>
    </w:div>
    <w:div w:id="414714570">
      <w:bodyDiv w:val="1"/>
      <w:marLeft w:val="0"/>
      <w:marRight w:val="0"/>
      <w:marTop w:val="0"/>
      <w:marBottom w:val="0"/>
      <w:divBdr>
        <w:top w:val="none" w:sz="0" w:space="0" w:color="auto"/>
        <w:left w:val="none" w:sz="0" w:space="0" w:color="auto"/>
        <w:bottom w:val="none" w:sz="0" w:space="0" w:color="auto"/>
        <w:right w:val="none" w:sz="0" w:space="0" w:color="auto"/>
      </w:divBdr>
      <w:divsChild>
        <w:div w:id="30110982">
          <w:marLeft w:val="547"/>
          <w:marRight w:val="0"/>
          <w:marTop w:val="134"/>
          <w:marBottom w:val="0"/>
          <w:divBdr>
            <w:top w:val="none" w:sz="0" w:space="0" w:color="auto"/>
            <w:left w:val="none" w:sz="0" w:space="0" w:color="auto"/>
            <w:bottom w:val="none" w:sz="0" w:space="0" w:color="auto"/>
            <w:right w:val="none" w:sz="0" w:space="0" w:color="auto"/>
          </w:divBdr>
        </w:div>
      </w:divsChild>
    </w:div>
    <w:div w:id="600450924">
      <w:bodyDiv w:val="1"/>
      <w:marLeft w:val="0"/>
      <w:marRight w:val="0"/>
      <w:marTop w:val="0"/>
      <w:marBottom w:val="0"/>
      <w:divBdr>
        <w:top w:val="none" w:sz="0" w:space="0" w:color="auto"/>
        <w:left w:val="none" w:sz="0" w:space="0" w:color="auto"/>
        <w:bottom w:val="none" w:sz="0" w:space="0" w:color="auto"/>
        <w:right w:val="none" w:sz="0" w:space="0" w:color="auto"/>
      </w:divBdr>
    </w:div>
    <w:div w:id="629475209">
      <w:bodyDiv w:val="1"/>
      <w:marLeft w:val="0"/>
      <w:marRight w:val="0"/>
      <w:marTop w:val="0"/>
      <w:marBottom w:val="0"/>
      <w:divBdr>
        <w:top w:val="none" w:sz="0" w:space="0" w:color="auto"/>
        <w:left w:val="none" w:sz="0" w:space="0" w:color="auto"/>
        <w:bottom w:val="none" w:sz="0" w:space="0" w:color="auto"/>
        <w:right w:val="none" w:sz="0" w:space="0" w:color="auto"/>
      </w:divBdr>
    </w:div>
    <w:div w:id="642127382">
      <w:bodyDiv w:val="1"/>
      <w:marLeft w:val="0"/>
      <w:marRight w:val="0"/>
      <w:marTop w:val="0"/>
      <w:marBottom w:val="0"/>
      <w:divBdr>
        <w:top w:val="none" w:sz="0" w:space="0" w:color="auto"/>
        <w:left w:val="none" w:sz="0" w:space="0" w:color="auto"/>
        <w:bottom w:val="none" w:sz="0" w:space="0" w:color="auto"/>
        <w:right w:val="none" w:sz="0" w:space="0" w:color="auto"/>
      </w:divBdr>
    </w:div>
    <w:div w:id="664358897">
      <w:bodyDiv w:val="1"/>
      <w:marLeft w:val="0"/>
      <w:marRight w:val="0"/>
      <w:marTop w:val="0"/>
      <w:marBottom w:val="0"/>
      <w:divBdr>
        <w:top w:val="none" w:sz="0" w:space="0" w:color="auto"/>
        <w:left w:val="none" w:sz="0" w:space="0" w:color="auto"/>
        <w:bottom w:val="none" w:sz="0" w:space="0" w:color="auto"/>
        <w:right w:val="none" w:sz="0" w:space="0" w:color="auto"/>
      </w:divBdr>
    </w:div>
    <w:div w:id="807431252">
      <w:bodyDiv w:val="1"/>
      <w:marLeft w:val="0"/>
      <w:marRight w:val="0"/>
      <w:marTop w:val="0"/>
      <w:marBottom w:val="0"/>
      <w:divBdr>
        <w:top w:val="none" w:sz="0" w:space="0" w:color="auto"/>
        <w:left w:val="none" w:sz="0" w:space="0" w:color="auto"/>
        <w:bottom w:val="none" w:sz="0" w:space="0" w:color="auto"/>
        <w:right w:val="none" w:sz="0" w:space="0" w:color="auto"/>
      </w:divBdr>
    </w:div>
    <w:div w:id="881795241">
      <w:bodyDiv w:val="1"/>
      <w:marLeft w:val="0"/>
      <w:marRight w:val="0"/>
      <w:marTop w:val="0"/>
      <w:marBottom w:val="0"/>
      <w:divBdr>
        <w:top w:val="none" w:sz="0" w:space="0" w:color="auto"/>
        <w:left w:val="none" w:sz="0" w:space="0" w:color="auto"/>
        <w:bottom w:val="none" w:sz="0" w:space="0" w:color="auto"/>
        <w:right w:val="none" w:sz="0" w:space="0" w:color="auto"/>
      </w:divBdr>
    </w:div>
    <w:div w:id="935015384">
      <w:bodyDiv w:val="1"/>
      <w:marLeft w:val="0"/>
      <w:marRight w:val="0"/>
      <w:marTop w:val="0"/>
      <w:marBottom w:val="0"/>
      <w:divBdr>
        <w:top w:val="none" w:sz="0" w:space="0" w:color="auto"/>
        <w:left w:val="none" w:sz="0" w:space="0" w:color="auto"/>
        <w:bottom w:val="none" w:sz="0" w:space="0" w:color="auto"/>
        <w:right w:val="none" w:sz="0" w:space="0" w:color="auto"/>
      </w:divBdr>
    </w:div>
    <w:div w:id="996347304">
      <w:bodyDiv w:val="1"/>
      <w:marLeft w:val="0"/>
      <w:marRight w:val="0"/>
      <w:marTop w:val="0"/>
      <w:marBottom w:val="0"/>
      <w:divBdr>
        <w:top w:val="none" w:sz="0" w:space="0" w:color="auto"/>
        <w:left w:val="none" w:sz="0" w:space="0" w:color="auto"/>
        <w:bottom w:val="none" w:sz="0" w:space="0" w:color="auto"/>
        <w:right w:val="none" w:sz="0" w:space="0" w:color="auto"/>
      </w:divBdr>
    </w:div>
    <w:div w:id="1097021903">
      <w:bodyDiv w:val="1"/>
      <w:marLeft w:val="0"/>
      <w:marRight w:val="0"/>
      <w:marTop w:val="0"/>
      <w:marBottom w:val="0"/>
      <w:divBdr>
        <w:top w:val="none" w:sz="0" w:space="0" w:color="auto"/>
        <w:left w:val="none" w:sz="0" w:space="0" w:color="auto"/>
        <w:bottom w:val="none" w:sz="0" w:space="0" w:color="auto"/>
        <w:right w:val="none" w:sz="0" w:space="0" w:color="auto"/>
      </w:divBdr>
    </w:div>
    <w:div w:id="1316302166">
      <w:bodyDiv w:val="1"/>
      <w:marLeft w:val="0"/>
      <w:marRight w:val="0"/>
      <w:marTop w:val="0"/>
      <w:marBottom w:val="0"/>
      <w:divBdr>
        <w:top w:val="none" w:sz="0" w:space="0" w:color="auto"/>
        <w:left w:val="none" w:sz="0" w:space="0" w:color="auto"/>
        <w:bottom w:val="none" w:sz="0" w:space="0" w:color="auto"/>
        <w:right w:val="none" w:sz="0" w:space="0" w:color="auto"/>
      </w:divBdr>
    </w:div>
    <w:div w:id="1387338225">
      <w:bodyDiv w:val="1"/>
      <w:marLeft w:val="0"/>
      <w:marRight w:val="0"/>
      <w:marTop w:val="0"/>
      <w:marBottom w:val="0"/>
      <w:divBdr>
        <w:top w:val="none" w:sz="0" w:space="0" w:color="auto"/>
        <w:left w:val="none" w:sz="0" w:space="0" w:color="auto"/>
        <w:bottom w:val="none" w:sz="0" w:space="0" w:color="auto"/>
        <w:right w:val="none" w:sz="0" w:space="0" w:color="auto"/>
      </w:divBdr>
    </w:div>
    <w:div w:id="1440829801">
      <w:bodyDiv w:val="1"/>
      <w:marLeft w:val="0"/>
      <w:marRight w:val="0"/>
      <w:marTop w:val="0"/>
      <w:marBottom w:val="0"/>
      <w:divBdr>
        <w:top w:val="none" w:sz="0" w:space="0" w:color="auto"/>
        <w:left w:val="none" w:sz="0" w:space="0" w:color="auto"/>
        <w:bottom w:val="none" w:sz="0" w:space="0" w:color="auto"/>
        <w:right w:val="none" w:sz="0" w:space="0" w:color="auto"/>
      </w:divBdr>
    </w:div>
    <w:div w:id="1575699220">
      <w:bodyDiv w:val="1"/>
      <w:marLeft w:val="0"/>
      <w:marRight w:val="0"/>
      <w:marTop w:val="0"/>
      <w:marBottom w:val="0"/>
      <w:divBdr>
        <w:top w:val="none" w:sz="0" w:space="0" w:color="auto"/>
        <w:left w:val="none" w:sz="0" w:space="0" w:color="auto"/>
        <w:bottom w:val="none" w:sz="0" w:space="0" w:color="auto"/>
        <w:right w:val="none" w:sz="0" w:space="0" w:color="auto"/>
      </w:divBdr>
    </w:div>
    <w:div w:id="1753817426">
      <w:bodyDiv w:val="1"/>
      <w:marLeft w:val="0"/>
      <w:marRight w:val="0"/>
      <w:marTop w:val="0"/>
      <w:marBottom w:val="0"/>
      <w:divBdr>
        <w:top w:val="none" w:sz="0" w:space="0" w:color="auto"/>
        <w:left w:val="none" w:sz="0" w:space="0" w:color="auto"/>
        <w:bottom w:val="none" w:sz="0" w:space="0" w:color="auto"/>
        <w:right w:val="none" w:sz="0" w:space="0" w:color="auto"/>
      </w:divBdr>
    </w:div>
    <w:div w:id="1796948966">
      <w:bodyDiv w:val="1"/>
      <w:marLeft w:val="0"/>
      <w:marRight w:val="0"/>
      <w:marTop w:val="0"/>
      <w:marBottom w:val="0"/>
      <w:divBdr>
        <w:top w:val="none" w:sz="0" w:space="0" w:color="auto"/>
        <w:left w:val="none" w:sz="0" w:space="0" w:color="auto"/>
        <w:bottom w:val="none" w:sz="0" w:space="0" w:color="auto"/>
        <w:right w:val="none" w:sz="0" w:space="0" w:color="auto"/>
      </w:divBdr>
    </w:div>
    <w:div w:id="1829130176">
      <w:bodyDiv w:val="1"/>
      <w:marLeft w:val="0"/>
      <w:marRight w:val="0"/>
      <w:marTop w:val="0"/>
      <w:marBottom w:val="0"/>
      <w:divBdr>
        <w:top w:val="none" w:sz="0" w:space="0" w:color="auto"/>
        <w:left w:val="none" w:sz="0" w:space="0" w:color="auto"/>
        <w:bottom w:val="none" w:sz="0" w:space="0" w:color="auto"/>
        <w:right w:val="none" w:sz="0" w:space="0" w:color="auto"/>
      </w:divBdr>
    </w:div>
    <w:div w:id="1856991366">
      <w:bodyDiv w:val="1"/>
      <w:marLeft w:val="0"/>
      <w:marRight w:val="0"/>
      <w:marTop w:val="0"/>
      <w:marBottom w:val="0"/>
      <w:divBdr>
        <w:top w:val="none" w:sz="0" w:space="0" w:color="auto"/>
        <w:left w:val="none" w:sz="0" w:space="0" w:color="auto"/>
        <w:bottom w:val="none" w:sz="0" w:space="0" w:color="auto"/>
        <w:right w:val="none" w:sz="0" w:space="0" w:color="auto"/>
      </w:divBdr>
    </w:div>
    <w:div w:id="1898782333">
      <w:bodyDiv w:val="1"/>
      <w:marLeft w:val="0"/>
      <w:marRight w:val="0"/>
      <w:marTop w:val="0"/>
      <w:marBottom w:val="0"/>
      <w:divBdr>
        <w:top w:val="none" w:sz="0" w:space="0" w:color="auto"/>
        <w:left w:val="none" w:sz="0" w:space="0" w:color="auto"/>
        <w:bottom w:val="none" w:sz="0" w:space="0" w:color="auto"/>
        <w:right w:val="none" w:sz="0" w:space="0" w:color="auto"/>
      </w:divBdr>
    </w:div>
    <w:div w:id="1928463669">
      <w:bodyDiv w:val="1"/>
      <w:marLeft w:val="0"/>
      <w:marRight w:val="0"/>
      <w:marTop w:val="0"/>
      <w:marBottom w:val="0"/>
      <w:divBdr>
        <w:top w:val="none" w:sz="0" w:space="0" w:color="auto"/>
        <w:left w:val="none" w:sz="0" w:space="0" w:color="auto"/>
        <w:bottom w:val="none" w:sz="0" w:space="0" w:color="auto"/>
        <w:right w:val="none" w:sz="0" w:space="0" w:color="auto"/>
      </w:divBdr>
    </w:div>
    <w:div w:id="1962804997">
      <w:bodyDiv w:val="1"/>
      <w:marLeft w:val="0"/>
      <w:marRight w:val="0"/>
      <w:marTop w:val="0"/>
      <w:marBottom w:val="0"/>
      <w:divBdr>
        <w:top w:val="none" w:sz="0" w:space="0" w:color="auto"/>
        <w:left w:val="none" w:sz="0" w:space="0" w:color="auto"/>
        <w:bottom w:val="none" w:sz="0" w:space="0" w:color="auto"/>
        <w:right w:val="none" w:sz="0" w:space="0" w:color="auto"/>
      </w:divBdr>
    </w:div>
    <w:div w:id="1991905113">
      <w:bodyDiv w:val="1"/>
      <w:marLeft w:val="0"/>
      <w:marRight w:val="0"/>
      <w:marTop w:val="0"/>
      <w:marBottom w:val="0"/>
      <w:divBdr>
        <w:top w:val="none" w:sz="0" w:space="0" w:color="auto"/>
        <w:left w:val="none" w:sz="0" w:space="0" w:color="auto"/>
        <w:bottom w:val="none" w:sz="0" w:space="0" w:color="auto"/>
        <w:right w:val="none" w:sz="0" w:space="0" w:color="auto"/>
      </w:divBdr>
    </w:div>
    <w:div w:id="20385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er\Desktop\2012%20&#949;&#964;&#951;&#963;&#953;&#94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917;&#964;&#942;&#963;&#953;&#945;%20&#904;&#954;&#952;&#949;&#963;&#951;\2011-2012%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pan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Andreou\My%20Documents\&#917;&#964;&#942;&#963;&#953;&#945;%20&#904;&#954;&#952;&#949;&#963;&#951;\2011-2012%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v>2010</c:v>
          </c:tx>
          <c:dLbls>
            <c:dLbl>
              <c:idx val="0"/>
              <c:layout>
                <c:manualLayout>
                  <c:x val="-1.084010840108404E-2"/>
                  <c:y val="-2.0245842371655901E-2"/>
                </c:manualLayout>
              </c:layout>
              <c:showVal val="1"/>
            </c:dLbl>
            <c:dLbl>
              <c:idx val="3"/>
              <c:layout>
                <c:manualLayout>
                  <c:x val="-9.0334236675700154E-3"/>
                  <c:y val="-8.6767895878525139E-3"/>
                </c:manualLayout>
              </c:layout>
              <c:showVal val="1"/>
            </c:dLbl>
            <c:dLbl>
              <c:idx val="5"/>
              <c:layout>
                <c:manualLayout>
                  <c:x val="9.0334236675700154E-3"/>
                  <c:y val="-1.1569052783803444E-2"/>
                </c:manualLayout>
              </c:layout>
              <c:showVal val="1"/>
            </c:dLbl>
            <c:txPr>
              <a:bodyPr/>
              <a:lstStyle/>
              <a:p>
                <a:pPr>
                  <a:defRPr sz="800"/>
                </a:pPr>
                <a:endParaRPr lang="en-US"/>
              </a:p>
            </c:txPr>
            <c:showVal val="1"/>
          </c:dLbls>
          <c:cat>
            <c:strRef>
              <c:f>Feuil1!$A$3:$F$3</c:f>
              <c:strCache>
                <c:ptCount val="6"/>
                <c:pt idx="0">
                  <c:v>Ανοιχτοί Διαγωνισμοί</c:v>
                </c:pt>
                <c:pt idx="1">
                  <c:v>Διαδικασίες διαπραγμάτευσης</c:v>
                </c:pt>
                <c:pt idx="2">
                  <c:v>Αγορές μέσω πρεσβειών</c:v>
                </c:pt>
                <c:pt idx="3">
                  <c:v>Συνοπτικές διαδικασίες (Μέρος "α" του νόμου)</c:v>
                </c:pt>
                <c:pt idx="4">
                  <c:v>Συνοπτικές διαδικασίες (Μέρος "β" του νόμου)</c:v>
                </c:pt>
                <c:pt idx="5">
                  <c:v>Συνοπτικές διαδικασίες (Μέρος "γ" του νόμου)</c:v>
                </c:pt>
              </c:strCache>
            </c:strRef>
          </c:cat>
          <c:val>
            <c:numRef>
              <c:f>Feuil1!$A$4:$F$4</c:f>
              <c:numCache>
                <c:formatCode>General</c:formatCode>
                <c:ptCount val="6"/>
                <c:pt idx="0">
                  <c:v>193</c:v>
                </c:pt>
                <c:pt idx="1">
                  <c:v>146</c:v>
                </c:pt>
                <c:pt idx="2">
                  <c:v>520</c:v>
                </c:pt>
                <c:pt idx="3">
                  <c:v>296</c:v>
                </c:pt>
                <c:pt idx="4">
                  <c:v>157</c:v>
                </c:pt>
                <c:pt idx="5">
                  <c:v>8</c:v>
                </c:pt>
              </c:numCache>
            </c:numRef>
          </c:val>
        </c:ser>
        <c:ser>
          <c:idx val="1"/>
          <c:order val="1"/>
          <c:tx>
            <c:v>2011</c:v>
          </c:tx>
          <c:dLbls>
            <c:dLbl>
              <c:idx val="0"/>
              <c:layout>
                <c:manualLayout>
                  <c:x val="1.084010840108404E-2"/>
                  <c:y val="-1.7353579175705014E-2"/>
                </c:manualLayout>
              </c:layout>
              <c:showVal val="1"/>
            </c:dLbl>
            <c:dLbl>
              <c:idx val="1"/>
              <c:layout>
                <c:manualLayout>
                  <c:x val="9.0334236675700466E-3"/>
                  <c:y val="-5.784526391901682E-3"/>
                </c:manualLayout>
              </c:layout>
              <c:showVal val="1"/>
            </c:dLbl>
            <c:dLbl>
              <c:idx val="2"/>
              <c:layout>
                <c:manualLayout>
                  <c:x val="1.6260162601626039E-2"/>
                  <c:y val="-7.8091106290672452E-2"/>
                </c:manualLayout>
              </c:layout>
              <c:showVal val="1"/>
            </c:dLbl>
            <c:dLbl>
              <c:idx val="4"/>
              <c:layout>
                <c:manualLayout>
                  <c:x val="8.6500356969177392E-3"/>
                  <c:y val="-5.2549061316101237E-2"/>
                </c:manualLayout>
              </c:layout>
              <c:showVal val="1"/>
            </c:dLbl>
            <c:dLbl>
              <c:idx val="5"/>
              <c:layout>
                <c:manualLayout>
                  <c:x val="9.0334236675700154E-3"/>
                  <c:y val="-5.784526391901571E-3"/>
                </c:manualLayout>
              </c:layout>
              <c:showVal val="1"/>
            </c:dLbl>
            <c:txPr>
              <a:bodyPr/>
              <a:lstStyle/>
              <a:p>
                <a:pPr>
                  <a:defRPr sz="800"/>
                </a:pPr>
                <a:endParaRPr lang="en-US"/>
              </a:p>
            </c:txPr>
            <c:showVal val="1"/>
          </c:dLbls>
          <c:cat>
            <c:strRef>
              <c:f>Feuil1!$A$3:$F$3</c:f>
              <c:strCache>
                <c:ptCount val="6"/>
                <c:pt idx="0">
                  <c:v>Ανοιχτοί Διαγωνισμοί</c:v>
                </c:pt>
                <c:pt idx="1">
                  <c:v>Διαδικασίες διαπραγμάτευσης</c:v>
                </c:pt>
                <c:pt idx="2">
                  <c:v>Αγορές μέσω πρεσβειών</c:v>
                </c:pt>
                <c:pt idx="3">
                  <c:v>Συνοπτικές διαδικασίες (Μέρος "α" του νόμου)</c:v>
                </c:pt>
                <c:pt idx="4">
                  <c:v>Συνοπτικές διαδικασίες (Μέρος "β" του νόμου)</c:v>
                </c:pt>
                <c:pt idx="5">
                  <c:v>Συνοπτικές διαδικασίες (Μέρος "γ" του νόμου)</c:v>
                </c:pt>
              </c:strCache>
            </c:strRef>
          </c:cat>
          <c:val>
            <c:numRef>
              <c:f>Feuil1!$A$5:$F$5</c:f>
              <c:numCache>
                <c:formatCode>General</c:formatCode>
                <c:ptCount val="6"/>
                <c:pt idx="0">
                  <c:v>196</c:v>
                </c:pt>
                <c:pt idx="1">
                  <c:v>55</c:v>
                </c:pt>
                <c:pt idx="2">
                  <c:v>458</c:v>
                </c:pt>
                <c:pt idx="3">
                  <c:v>347</c:v>
                </c:pt>
                <c:pt idx="4">
                  <c:v>121</c:v>
                </c:pt>
                <c:pt idx="5">
                  <c:v>2</c:v>
                </c:pt>
              </c:numCache>
            </c:numRef>
          </c:val>
        </c:ser>
        <c:ser>
          <c:idx val="2"/>
          <c:order val="2"/>
          <c:tx>
            <c:v>2012</c:v>
          </c:tx>
          <c:dLbls>
            <c:dLbl>
              <c:idx val="0"/>
              <c:layout>
                <c:manualLayout>
                  <c:x val="1.084010840108404E-2"/>
                  <c:y val="-2.8922631959508271E-3"/>
                </c:manualLayout>
              </c:layout>
              <c:showVal val="1"/>
            </c:dLbl>
            <c:dLbl>
              <c:idx val="1"/>
              <c:layout>
                <c:manualLayout>
                  <c:x val="1.8066847335140038E-2"/>
                  <c:y val="-5.784526391901682E-3"/>
                </c:manualLayout>
              </c:layout>
              <c:showVal val="1"/>
            </c:dLbl>
            <c:dLbl>
              <c:idx val="2"/>
              <c:layout>
                <c:manualLayout>
                  <c:x val="3.7940379403794126E-2"/>
                  <c:y val="-1.4461315979754157E-2"/>
                </c:manualLayout>
              </c:layout>
              <c:showVal val="1"/>
            </c:dLbl>
            <c:dLbl>
              <c:idx val="3"/>
              <c:layout>
                <c:manualLayout>
                  <c:x val="1.084010840108404E-2"/>
                  <c:y val="-8.6767895878525139E-3"/>
                </c:manualLayout>
              </c:layout>
              <c:showVal val="1"/>
            </c:dLbl>
            <c:dLbl>
              <c:idx val="4"/>
              <c:layout>
                <c:manualLayout>
                  <c:x val="2.0256790399345588E-2"/>
                  <c:y val="2.4036160595586292E-3"/>
                </c:manualLayout>
              </c:layout>
              <c:showVal val="1"/>
            </c:dLbl>
            <c:dLbl>
              <c:idx val="5"/>
              <c:layout>
                <c:manualLayout>
                  <c:x val="1.084010840108404E-2"/>
                  <c:y val="-8.676789587852422E-3"/>
                </c:manualLayout>
              </c:layout>
              <c:showVal val="1"/>
            </c:dLbl>
            <c:txPr>
              <a:bodyPr/>
              <a:lstStyle/>
              <a:p>
                <a:pPr>
                  <a:defRPr sz="800"/>
                </a:pPr>
                <a:endParaRPr lang="en-US"/>
              </a:p>
            </c:txPr>
            <c:showVal val="1"/>
          </c:dLbls>
          <c:cat>
            <c:strRef>
              <c:f>Feuil1!$A$3:$F$3</c:f>
              <c:strCache>
                <c:ptCount val="6"/>
                <c:pt idx="0">
                  <c:v>Ανοιχτοί Διαγωνισμοί</c:v>
                </c:pt>
                <c:pt idx="1">
                  <c:v>Διαδικασίες διαπραγμάτευσης</c:v>
                </c:pt>
                <c:pt idx="2">
                  <c:v>Αγορές μέσω πρεσβειών</c:v>
                </c:pt>
                <c:pt idx="3">
                  <c:v>Συνοπτικές διαδικασίες (Μέρος "α" του νόμου)</c:v>
                </c:pt>
                <c:pt idx="4">
                  <c:v>Συνοπτικές διαδικασίες (Μέρος "β" του νόμου)</c:v>
                </c:pt>
                <c:pt idx="5">
                  <c:v>Συνοπτικές διαδικασίες (Μέρος "γ" του νόμου)</c:v>
                </c:pt>
              </c:strCache>
            </c:strRef>
          </c:cat>
          <c:val>
            <c:numRef>
              <c:f>Feuil1!$A$6:$F$6</c:f>
              <c:numCache>
                <c:formatCode>General</c:formatCode>
                <c:ptCount val="6"/>
                <c:pt idx="0">
                  <c:v>175</c:v>
                </c:pt>
                <c:pt idx="1">
                  <c:v>57</c:v>
                </c:pt>
                <c:pt idx="2">
                  <c:v>500</c:v>
                </c:pt>
                <c:pt idx="3">
                  <c:v>370</c:v>
                </c:pt>
                <c:pt idx="4">
                  <c:v>170</c:v>
                </c:pt>
                <c:pt idx="5">
                  <c:v>4</c:v>
                </c:pt>
              </c:numCache>
            </c:numRef>
          </c:val>
        </c:ser>
        <c:shape val="box"/>
        <c:axId val="68655360"/>
        <c:axId val="68706304"/>
        <c:axId val="0"/>
      </c:bar3DChart>
      <c:catAx>
        <c:axId val="68655360"/>
        <c:scaling>
          <c:orientation val="minMax"/>
        </c:scaling>
        <c:axPos val="b"/>
        <c:tickLblPos val="nextTo"/>
        <c:txPr>
          <a:bodyPr/>
          <a:lstStyle/>
          <a:p>
            <a:pPr>
              <a:defRPr sz="700" baseline="0">
                <a:latin typeface="+mn-lt"/>
                <a:cs typeface="Arial" pitchFamily="34" charset="0"/>
              </a:defRPr>
            </a:pPr>
            <a:endParaRPr lang="en-US"/>
          </a:p>
        </c:txPr>
        <c:crossAx val="68706304"/>
        <c:crosses val="autoZero"/>
        <c:auto val="1"/>
        <c:lblAlgn val="ctr"/>
        <c:lblOffset val="100"/>
      </c:catAx>
      <c:valAx>
        <c:axId val="68706304"/>
        <c:scaling>
          <c:orientation val="minMax"/>
        </c:scaling>
        <c:axPos val="l"/>
        <c:majorGridlines/>
        <c:numFmt formatCode="General" sourceLinked="1"/>
        <c:tickLblPos val="nextTo"/>
        <c:txPr>
          <a:bodyPr/>
          <a:lstStyle/>
          <a:p>
            <a:pPr>
              <a:defRPr sz="800"/>
            </a:pPr>
            <a:endParaRPr lang="en-US"/>
          </a:p>
        </c:txPr>
        <c:crossAx val="68655360"/>
        <c:crosses val="autoZero"/>
        <c:crossBetween val="between"/>
      </c:valAx>
    </c:plotArea>
    <c:legend>
      <c:legendPos val="r"/>
      <c:layout>
        <c:manualLayout>
          <c:xMode val="edge"/>
          <c:yMode val="edge"/>
          <c:x val="0.90811098304444848"/>
          <c:y val="0.40868905988088661"/>
          <c:w val="6.7827717652278713E-2"/>
          <c:h val="0.18262188023822759"/>
        </c:manualLayout>
      </c:layout>
      <c:txPr>
        <a:bodyPr/>
        <a:lstStyle/>
        <a:p>
          <a:pPr>
            <a:defRPr sz="800"/>
          </a:pPr>
          <a:endParaRPr lang="en-US"/>
        </a:p>
      </c:txPr>
    </c:legend>
    <c:plotVisOnly val="1"/>
    <c:dispBlanksAs val="gap"/>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400"/>
            </a:pPr>
            <a:r>
              <a:rPr lang="el-GR" sz="1400"/>
              <a:t>Έκδοση πιστοποιητικών φαρμακευτικών προϊόντων</a:t>
            </a:r>
            <a:r>
              <a:rPr lang="en-US" sz="1400"/>
              <a:t> 2008-2012</a:t>
            </a:r>
            <a:endParaRPr lang="el-GR" sz="1400"/>
          </a:p>
        </c:rich>
      </c:tx>
    </c:title>
    <c:plotArea>
      <c:layout>
        <c:manualLayout>
          <c:layoutTarget val="inner"/>
          <c:xMode val="edge"/>
          <c:yMode val="edge"/>
          <c:x val="7.8749770867363789E-2"/>
          <c:y val="0.12710279081664397"/>
          <c:w val="0.90254960380390004"/>
          <c:h val="0.78149942341350342"/>
        </c:manualLayout>
      </c:layout>
      <c:barChart>
        <c:barDir val="col"/>
        <c:grouping val="clustered"/>
        <c:ser>
          <c:idx val="0"/>
          <c:order val="0"/>
          <c:tx>
            <c:strRef>
              <c:f>'INSPECTIONS LICENCES (2012)'!$A$12</c:f>
              <c:strCache>
                <c:ptCount val="1"/>
                <c:pt idx="0">
                  <c:v>Έκδοση πιστοποιητικών φαρμακευτικών προϊόντων.</c:v>
                </c:pt>
              </c:strCache>
            </c:strRef>
          </c:tx>
          <c:dLbls>
            <c:txPr>
              <a:bodyPr/>
              <a:lstStyle/>
              <a:p>
                <a:pPr>
                  <a:defRPr b="1"/>
                </a:pPr>
                <a:endParaRPr lang="en-US"/>
              </a:p>
            </c:txPr>
            <c:showVal val="1"/>
          </c:dLbls>
          <c:cat>
            <c:numRef>
              <c:f>'INSPECTIONS LICENCES (2012)'!$B$2:$F$2</c:f>
              <c:numCache>
                <c:formatCode>General</c:formatCode>
                <c:ptCount val="5"/>
                <c:pt idx="0">
                  <c:v>2008</c:v>
                </c:pt>
                <c:pt idx="1">
                  <c:v>2009</c:v>
                </c:pt>
                <c:pt idx="2">
                  <c:v>2010</c:v>
                </c:pt>
                <c:pt idx="3">
                  <c:v>2011</c:v>
                </c:pt>
                <c:pt idx="4">
                  <c:v>2012</c:v>
                </c:pt>
              </c:numCache>
            </c:numRef>
          </c:cat>
          <c:val>
            <c:numRef>
              <c:f>'INSPECTIONS LICENCES (2012)'!$B$12:$F$12</c:f>
              <c:numCache>
                <c:formatCode>General</c:formatCode>
                <c:ptCount val="5"/>
                <c:pt idx="0">
                  <c:v>2171</c:v>
                </c:pt>
                <c:pt idx="1">
                  <c:v>2451</c:v>
                </c:pt>
                <c:pt idx="2">
                  <c:v>2134</c:v>
                </c:pt>
                <c:pt idx="3">
                  <c:v>2369</c:v>
                </c:pt>
                <c:pt idx="4">
                  <c:v>2033</c:v>
                </c:pt>
              </c:numCache>
            </c:numRef>
          </c:val>
        </c:ser>
        <c:axId val="68981888"/>
        <c:axId val="68983424"/>
      </c:barChart>
      <c:catAx>
        <c:axId val="68981888"/>
        <c:scaling>
          <c:orientation val="minMax"/>
        </c:scaling>
        <c:axPos val="b"/>
        <c:numFmt formatCode="General" sourceLinked="1"/>
        <c:tickLblPos val="nextTo"/>
        <c:crossAx val="68983424"/>
        <c:crosses val="autoZero"/>
        <c:auto val="1"/>
        <c:lblAlgn val="ctr"/>
        <c:lblOffset val="100"/>
      </c:catAx>
      <c:valAx>
        <c:axId val="68983424"/>
        <c:scaling>
          <c:orientation val="minMax"/>
        </c:scaling>
        <c:axPos val="l"/>
        <c:majorGridlines/>
        <c:numFmt formatCode="General" sourceLinked="1"/>
        <c:tickLblPos val="nextTo"/>
        <c:crossAx val="6898188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29"/>
  <c:chart>
    <c:title>
      <c:tx>
        <c:rich>
          <a:bodyPr/>
          <a:lstStyle/>
          <a:p>
            <a:pPr>
              <a:defRPr sz="1100"/>
            </a:pPr>
            <a:r>
              <a:rPr lang="el-GR" sz="1100"/>
              <a:t>Διερευνήσεις για προβλήματα Ποιότητας Φαρ. Προϊόντων 2008-2012</a:t>
            </a:r>
          </a:p>
        </c:rich>
      </c:tx>
      <c:layout>
        <c:manualLayout>
          <c:xMode val="edge"/>
          <c:yMode val="edge"/>
          <c:x val="0.11993845807757818"/>
          <c:y val="0"/>
        </c:manualLayout>
      </c:layout>
    </c:title>
    <c:plotArea>
      <c:layout>
        <c:manualLayout>
          <c:layoutTarget val="inner"/>
          <c:xMode val="edge"/>
          <c:yMode val="edge"/>
          <c:x val="0.1295749665327979"/>
          <c:y val="0.27748581329964134"/>
          <c:w val="0.80241967871485942"/>
          <c:h val="0.52189141953529983"/>
        </c:manualLayout>
      </c:layout>
      <c:barChart>
        <c:barDir val="col"/>
        <c:grouping val="clustered"/>
        <c:ser>
          <c:idx val="0"/>
          <c:order val="0"/>
          <c:tx>
            <c:strRef>
              <c:f>SAMPLES!$A$6</c:f>
              <c:strCache>
                <c:ptCount val="1"/>
                <c:pt idx="0">
                  <c:v>Διερευνήσεις για προβλήματα Ποιότητας Φαρμακευτικών Προϊόντων</c:v>
                </c:pt>
              </c:strCache>
            </c:strRef>
          </c:tx>
          <c:dLbls>
            <c:txPr>
              <a:bodyPr/>
              <a:lstStyle/>
              <a:p>
                <a:pPr>
                  <a:defRPr sz="900" b="1"/>
                </a:pPr>
                <a:endParaRPr lang="en-US"/>
              </a:p>
            </c:txPr>
            <c:showVal val="1"/>
          </c:dLbls>
          <c:cat>
            <c:numRef>
              <c:f>SAMPLES!$B$2:$F$2</c:f>
              <c:numCache>
                <c:formatCode>General</c:formatCode>
                <c:ptCount val="5"/>
                <c:pt idx="0">
                  <c:v>2008</c:v>
                </c:pt>
                <c:pt idx="1">
                  <c:v>2009</c:v>
                </c:pt>
                <c:pt idx="2">
                  <c:v>2010</c:v>
                </c:pt>
                <c:pt idx="3">
                  <c:v>2011</c:v>
                </c:pt>
                <c:pt idx="4">
                  <c:v>2012</c:v>
                </c:pt>
              </c:numCache>
            </c:numRef>
          </c:cat>
          <c:val>
            <c:numRef>
              <c:f>SAMPLES!$B$6:$F$6</c:f>
              <c:numCache>
                <c:formatCode>General</c:formatCode>
                <c:ptCount val="5"/>
                <c:pt idx="0">
                  <c:v>30</c:v>
                </c:pt>
                <c:pt idx="1">
                  <c:v>46</c:v>
                </c:pt>
                <c:pt idx="2">
                  <c:v>40</c:v>
                </c:pt>
                <c:pt idx="3">
                  <c:v>75</c:v>
                </c:pt>
                <c:pt idx="4">
                  <c:v>62</c:v>
                </c:pt>
              </c:numCache>
            </c:numRef>
          </c:val>
        </c:ser>
        <c:axId val="69003520"/>
        <c:axId val="68886528"/>
      </c:barChart>
      <c:catAx>
        <c:axId val="69003520"/>
        <c:scaling>
          <c:orientation val="minMax"/>
        </c:scaling>
        <c:axPos val="b"/>
        <c:numFmt formatCode="General" sourceLinked="1"/>
        <c:tickLblPos val="nextTo"/>
        <c:crossAx val="68886528"/>
        <c:crosses val="autoZero"/>
        <c:auto val="1"/>
        <c:lblAlgn val="ctr"/>
        <c:lblOffset val="100"/>
      </c:catAx>
      <c:valAx>
        <c:axId val="68886528"/>
        <c:scaling>
          <c:orientation val="minMax"/>
        </c:scaling>
        <c:axPos val="l"/>
        <c:majorGridlines/>
        <c:numFmt formatCode="General" sourceLinked="1"/>
        <c:tickLblPos val="nextTo"/>
        <c:crossAx val="6900352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pPr>
            <a:r>
              <a:rPr lang="el-GR" sz="1100"/>
              <a:t>Δείγματα Επιτόπιας Αγοράς</a:t>
            </a:r>
            <a:r>
              <a:rPr lang="en-US" sz="1100"/>
              <a:t> 2008-2012</a:t>
            </a:r>
            <a:endParaRPr lang="el-GR" sz="1100"/>
          </a:p>
        </c:rich>
      </c:tx>
      <c:layout>
        <c:manualLayout>
          <c:xMode val="edge"/>
          <c:yMode val="edge"/>
          <c:x val="0.10311412315930389"/>
          <c:y val="0"/>
        </c:manualLayout>
      </c:layout>
    </c:title>
    <c:plotArea>
      <c:layout>
        <c:manualLayout>
          <c:layoutTarget val="inner"/>
          <c:xMode val="edge"/>
          <c:yMode val="edge"/>
          <c:x val="0.14020080321285142"/>
          <c:y val="0.20128761682567456"/>
          <c:w val="0.82154618473895258"/>
          <c:h val="0.65725450985293299"/>
        </c:manualLayout>
      </c:layout>
      <c:barChart>
        <c:barDir val="col"/>
        <c:grouping val="clustered"/>
        <c:ser>
          <c:idx val="0"/>
          <c:order val="0"/>
          <c:tx>
            <c:strRef>
              <c:f>SAMPLES!$A$3</c:f>
              <c:strCache>
                <c:ptCount val="1"/>
                <c:pt idx="0">
                  <c:v>Δείγματα Επιτόπιας Αγοράς</c:v>
                </c:pt>
              </c:strCache>
            </c:strRef>
          </c:tx>
          <c:dLbls>
            <c:txPr>
              <a:bodyPr/>
              <a:lstStyle/>
              <a:p>
                <a:pPr>
                  <a:defRPr sz="800" b="1"/>
                </a:pPr>
                <a:endParaRPr lang="en-US"/>
              </a:p>
            </c:txPr>
            <c:showVal val="1"/>
          </c:dLbls>
          <c:cat>
            <c:numRef>
              <c:f>SAMPLES!$B$2:$F$2</c:f>
              <c:numCache>
                <c:formatCode>General</c:formatCode>
                <c:ptCount val="5"/>
                <c:pt idx="0">
                  <c:v>2008</c:v>
                </c:pt>
                <c:pt idx="1">
                  <c:v>2009</c:v>
                </c:pt>
                <c:pt idx="2">
                  <c:v>2010</c:v>
                </c:pt>
                <c:pt idx="3">
                  <c:v>2011</c:v>
                </c:pt>
                <c:pt idx="4">
                  <c:v>2012</c:v>
                </c:pt>
              </c:numCache>
            </c:numRef>
          </c:cat>
          <c:val>
            <c:numRef>
              <c:f>SAMPLES!$B$3:$F$3</c:f>
              <c:numCache>
                <c:formatCode>General</c:formatCode>
                <c:ptCount val="5"/>
                <c:pt idx="0">
                  <c:v>188</c:v>
                </c:pt>
                <c:pt idx="1">
                  <c:v>224</c:v>
                </c:pt>
                <c:pt idx="2">
                  <c:v>172</c:v>
                </c:pt>
                <c:pt idx="3">
                  <c:v>203</c:v>
                </c:pt>
                <c:pt idx="4">
                  <c:v>106</c:v>
                </c:pt>
              </c:numCache>
            </c:numRef>
          </c:val>
        </c:ser>
        <c:axId val="68894080"/>
        <c:axId val="68908160"/>
      </c:barChart>
      <c:catAx>
        <c:axId val="68894080"/>
        <c:scaling>
          <c:orientation val="minMax"/>
        </c:scaling>
        <c:axPos val="b"/>
        <c:numFmt formatCode="General" sourceLinked="1"/>
        <c:tickLblPos val="nextTo"/>
        <c:crossAx val="68908160"/>
        <c:crosses val="autoZero"/>
        <c:auto val="1"/>
        <c:lblAlgn val="ctr"/>
        <c:lblOffset val="100"/>
      </c:catAx>
      <c:valAx>
        <c:axId val="68908160"/>
        <c:scaling>
          <c:orientation val="minMax"/>
        </c:scaling>
        <c:axPos val="l"/>
        <c:majorGridlines/>
        <c:numFmt formatCode="General" sourceLinked="1"/>
        <c:tickLblPos val="nextTo"/>
        <c:crossAx val="6889408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style val="32"/>
  <c:chart>
    <c:title>
      <c:tx>
        <c:rich>
          <a:bodyPr/>
          <a:lstStyle/>
          <a:p>
            <a:pPr algn="ctr">
              <a:defRPr sz="1100"/>
            </a:pPr>
            <a:r>
              <a:rPr lang="el-GR" sz="1100"/>
              <a:t>Σύστημα Ταχείας Ειδοποίησης (</a:t>
            </a:r>
            <a:r>
              <a:rPr lang="en-US" sz="1100"/>
              <a:t>Rapid Alert) </a:t>
            </a:r>
            <a:r>
              <a:rPr lang="el-GR" sz="1100"/>
              <a:t>Εξερχόμενες Τ.Ε. 2008-201</a:t>
            </a:r>
            <a:r>
              <a:rPr lang="en-US" sz="1100"/>
              <a:t>2</a:t>
            </a:r>
            <a:endParaRPr lang="el-GR" sz="1100"/>
          </a:p>
        </c:rich>
      </c:tx>
      <c:layout>
        <c:manualLayout>
          <c:xMode val="edge"/>
          <c:yMode val="edge"/>
          <c:x val="0.1229631860776442"/>
          <c:y val="0"/>
        </c:manualLayout>
      </c:layout>
    </c:title>
    <c:plotArea>
      <c:layout>
        <c:manualLayout>
          <c:layoutTarget val="inner"/>
          <c:xMode val="edge"/>
          <c:yMode val="edge"/>
          <c:x val="0.12075568942436413"/>
          <c:y val="0.22548514768987221"/>
          <c:w val="0.83249062918340211"/>
          <c:h val="0.6330569789887377"/>
        </c:manualLayout>
      </c:layout>
      <c:barChart>
        <c:barDir val="col"/>
        <c:grouping val="clustered"/>
        <c:ser>
          <c:idx val="0"/>
          <c:order val="0"/>
          <c:tx>
            <c:strRef>
              <c:f>SAMPLES!$A$5</c:f>
              <c:strCache>
                <c:ptCount val="1"/>
                <c:pt idx="0">
                  <c:v>Σύστημα Ταχείας Ειδοποίησης (Rapid Alert) Εξερχόμενες Τ.Ε.</c:v>
                </c:pt>
              </c:strCache>
            </c:strRef>
          </c:tx>
          <c:dLbls>
            <c:dLbl>
              <c:idx val="3"/>
              <c:showVal val="1"/>
            </c:dLbl>
            <c:dLbl>
              <c:idx val="4"/>
              <c:showVal val="1"/>
            </c:dLbl>
            <c:delete val="1"/>
            <c:txPr>
              <a:bodyPr/>
              <a:lstStyle/>
              <a:p>
                <a:pPr>
                  <a:defRPr sz="900" b="1"/>
                </a:pPr>
                <a:endParaRPr lang="en-US"/>
              </a:p>
            </c:txPr>
          </c:dLbls>
          <c:cat>
            <c:numRef>
              <c:f>'SAMPLES (2012)'!$B$2:$F$2</c:f>
              <c:numCache>
                <c:formatCode>General</c:formatCode>
                <c:ptCount val="5"/>
                <c:pt idx="0">
                  <c:v>2008</c:v>
                </c:pt>
                <c:pt idx="1">
                  <c:v>2009</c:v>
                </c:pt>
                <c:pt idx="2">
                  <c:v>2010</c:v>
                </c:pt>
                <c:pt idx="3">
                  <c:v>2011</c:v>
                </c:pt>
                <c:pt idx="4">
                  <c:v>2012</c:v>
                </c:pt>
              </c:numCache>
            </c:numRef>
          </c:cat>
          <c:val>
            <c:numRef>
              <c:f>SAMPLES!$B$5:$F$5</c:f>
              <c:numCache>
                <c:formatCode>General</c:formatCode>
                <c:ptCount val="5"/>
                <c:pt idx="0">
                  <c:v>0</c:v>
                </c:pt>
                <c:pt idx="1">
                  <c:v>0</c:v>
                </c:pt>
                <c:pt idx="2">
                  <c:v>0</c:v>
                </c:pt>
                <c:pt idx="3">
                  <c:v>1</c:v>
                </c:pt>
                <c:pt idx="4">
                  <c:v>1</c:v>
                </c:pt>
              </c:numCache>
            </c:numRef>
          </c:val>
        </c:ser>
        <c:axId val="69010176"/>
        <c:axId val="69011712"/>
      </c:barChart>
      <c:catAx>
        <c:axId val="69010176"/>
        <c:scaling>
          <c:orientation val="minMax"/>
        </c:scaling>
        <c:axPos val="b"/>
        <c:numFmt formatCode="General" sourceLinked="1"/>
        <c:tickLblPos val="nextTo"/>
        <c:crossAx val="69011712"/>
        <c:crosses val="autoZero"/>
        <c:auto val="1"/>
        <c:lblAlgn val="ctr"/>
        <c:lblOffset val="100"/>
      </c:catAx>
      <c:valAx>
        <c:axId val="69011712"/>
        <c:scaling>
          <c:orientation val="minMax"/>
        </c:scaling>
        <c:axPos val="l"/>
        <c:majorGridlines/>
        <c:numFmt formatCode="General" sourceLinked="1"/>
        <c:tickLblPos val="nextTo"/>
        <c:crossAx val="6901017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sz="1100"/>
            </a:pPr>
            <a:r>
              <a:rPr lang="el-GR" sz="1100"/>
              <a:t>Σύστημα Ταχείας Ειδοποίησης (</a:t>
            </a:r>
            <a:r>
              <a:rPr lang="en-US" sz="1100"/>
              <a:t>Rapid Alert) </a:t>
            </a:r>
            <a:r>
              <a:rPr lang="el-GR" sz="1100"/>
              <a:t>Εισερχόμενες Τ.Ε.</a:t>
            </a:r>
            <a:r>
              <a:rPr lang="en-US" sz="1100"/>
              <a:t> 2008-2012</a:t>
            </a:r>
            <a:endParaRPr lang="el-GR" sz="1100"/>
          </a:p>
        </c:rich>
      </c:tx>
      <c:layout>
        <c:manualLayout>
          <c:xMode val="edge"/>
          <c:yMode val="edge"/>
          <c:x val="0.12296318607764423"/>
          <c:y val="0"/>
        </c:manualLayout>
      </c:layout>
    </c:title>
    <c:plotArea>
      <c:layout>
        <c:manualLayout>
          <c:layoutTarget val="inner"/>
          <c:xMode val="edge"/>
          <c:yMode val="edge"/>
          <c:x val="0.12744979919678778"/>
          <c:y val="0.24664916885389399"/>
          <c:w val="0.82154618473895236"/>
          <c:h val="0.55948228693635427"/>
        </c:manualLayout>
      </c:layout>
      <c:barChart>
        <c:barDir val="col"/>
        <c:grouping val="clustered"/>
        <c:ser>
          <c:idx val="0"/>
          <c:order val="0"/>
          <c:tx>
            <c:strRef>
              <c:f>SAMPLES!$A$4</c:f>
              <c:strCache>
                <c:ptCount val="1"/>
                <c:pt idx="0">
                  <c:v>Σύστημα Ταχείας Ειδοποίησης (Rapid Alert) Εισερχόμενες Τ.Ε.</c:v>
                </c:pt>
              </c:strCache>
            </c:strRef>
          </c:tx>
          <c:dLbls>
            <c:txPr>
              <a:bodyPr/>
              <a:lstStyle/>
              <a:p>
                <a:pPr>
                  <a:defRPr sz="800" b="1"/>
                </a:pPr>
                <a:endParaRPr lang="en-US"/>
              </a:p>
            </c:txPr>
            <c:showVal val="1"/>
          </c:dLbls>
          <c:cat>
            <c:numRef>
              <c:f>'SAMPLES (2012)'!$B$2:$F$2</c:f>
              <c:numCache>
                <c:formatCode>General</c:formatCode>
                <c:ptCount val="5"/>
                <c:pt idx="0">
                  <c:v>2008</c:v>
                </c:pt>
                <c:pt idx="1">
                  <c:v>2009</c:v>
                </c:pt>
                <c:pt idx="2">
                  <c:v>2010</c:v>
                </c:pt>
                <c:pt idx="3">
                  <c:v>2011</c:v>
                </c:pt>
                <c:pt idx="4">
                  <c:v>2012</c:v>
                </c:pt>
              </c:numCache>
            </c:numRef>
          </c:cat>
          <c:val>
            <c:numRef>
              <c:f>SAMPLES!$B$4:$F$4</c:f>
              <c:numCache>
                <c:formatCode>General</c:formatCode>
                <c:ptCount val="5"/>
                <c:pt idx="0">
                  <c:v>113</c:v>
                </c:pt>
                <c:pt idx="1">
                  <c:v>93</c:v>
                </c:pt>
                <c:pt idx="2">
                  <c:v>142</c:v>
                </c:pt>
                <c:pt idx="3">
                  <c:v>170</c:v>
                </c:pt>
                <c:pt idx="4">
                  <c:v>197</c:v>
                </c:pt>
              </c:numCache>
            </c:numRef>
          </c:val>
        </c:ser>
        <c:axId val="69035904"/>
        <c:axId val="69037440"/>
      </c:barChart>
      <c:catAx>
        <c:axId val="69035904"/>
        <c:scaling>
          <c:orientation val="minMax"/>
        </c:scaling>
        <c:axPos val="b"/>
        <c:numFmt formatCode="General" sourceLinked="1"/>
        <c:tickLblPos val="nextTo"/>
        <c:crossAx val="69037440"/>
        <c:crosses val="autoZero"/>
        <c:auto val="1"/>
        <c:lblAlgn val="ctr"/>
        <c:lblOffset val="100"/>
      </c:catAx>
      <c:valAx>
        <c:axId val="69037440"/>
        <c:scaling>
          <c:orientation val="minMax"/>
        </c:scaling>
        <c:axPos val="l"/>
        <c:majorGridlines/>
        <c:numFmt formatCode="General" sourceLinked="1"/>
        <c:tickLblPos val="nextTo"/>
        <c:crossAx val="69035904"/>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31"/>
  <c:chart>
    <c:title>
      <c:tx>
        <c:rich>
          <a:bodyPr/>
          <a:lstStyle/>
          <a:p>
            <a:pPr>
              <a:defRPr sz="1100"/>
            </a:pPr>
            <a:r>
              <a:rPr lang="el-GR" sz="1100"/>
              <a:t>Ανακλήσεις Φαρμακευτικών Προϊόντων</a:t>
            </a:r>
            <a:r>
              <a:rPr lang="en-US" sz="1100"/>
              <a:t> 2008-2012</a:t>
            </a:r>
            <a:endParaRPr lang="el-GR" sz="1100"/>
          </a:p>
        </c:rich>
      </c:tx>
      <c:layout>
        <c:manualLayout>
          <c:xMode val="edge"/>
          <c:yMode val="edge"/>
          <c:x val="0.19547534722222296"/>
          <c:y val="0"/>
        </c:manualLayout>
      </c:layout>
    </c:title>
    <c:plotArea>
      <c:layout>
        <c:manualLayout>
          <c:layoutTarget val="inner"/>
          <c:xMode val="edge"/>
          <c:yMode val="edge"/>
          <c:x val="0.11015093708166"/>
          <c:y val="0.21137580024719141"/>
          <c:w val="0.84309538152610464"/>
          <c:h val="0.61189295782471664"/>
        </c:manualLayout>
      </c:layout>
      <c:barChart>
        <c:barDir val="col"/>
        <c:grouping val="clustered"/>
        <c:ser>
          <c:idx val="0"/>
          <c:order val="0"/>
          <c:tx>
            <c:strRef>
              <c:f>SAMPLES!$A$6</c:f>
              <c:strCache>
                <c:ptCount val="1"/>
                <c:pt idx="0">
                  <c:v>Ανακλήσεις Φαρμακευτικών Προϊόντων</c:v>
                </c:pt>
              </c:strCache>
            </c:strRef>
          </c:tx>
          <c:dLbls>
            <c:dLbl>
              <c:idx val="4"/>
              <c:layout>
                <c:manualLayout>
                  <c:x val="0"/>
                  <c:y val="2.821869488536155E-2"/>
                </c:manualLayout>
              </c:layout>
              <c:showVal val="1"/>
            </c:dLbl>
            <c:txPr>
              <a:bodyPr/>
              <a:lstStyle/>
              <a:p>
                <a:pPr>
                  <a:defRPr sz="900" b="1"/>
                </a:pPr>
                <a:endParaRPr lang="en-US"/>
              </a:p>
            </c:txPr>
            <c:showVal val="1"/>
          </c:dLbls>
          <c:cat>
            <c:numRef>
              <c:f>'SAMPLES (2012)'!$B$2:$F$2</c:f>
              <c:numCache>
                <c:formatCode>General</c:formatCode>
                <c:ptCount val="5"/>
                <c:pt idx="0">
                  <c:v>2008</c:v>
                </c:pt>
                <c:pt idx="1">
                  <c:v>2009</c:v>
                </c:pt>
                <c:pt idx="2">
                  <c:v>2010</c:v>
                </c:pt>
                <c:pt idx="3">
                  <c:v>2011</c:v>
                </c:pt>
                <c:pt idx="4">
                  <c:v>2012</c:v>
                </c:pt>
              </c:numCache>
            </c:numRef>
          </c:cat>
          <c:val>
            <c:numRef>
              <c:f>SAMPLES!$B$6:$F$6</c:f>
              <c:numCache>
                <c:formatCode>General</c:formatCode>
                <c:ptCount val="5"/>
                <c:pt idx="0">
                  <c:v>6</c:v>
                </c:pt>
                <c:pt idx="1">
                  <c:v>8</c:v>
                </c:pt>
                <c:pt idx="2">
                  <c:v>14</c:v>
                </c:pt>
                <c:pt idx="3">
                  <c:v>15</c:v>
                </c:pt>
                <c:pt idx="4">
                  <c:v>17</c:v>
                </c:pt>
              </c:numCache>
            </c:numRef>
          </c:val>
        </c:ser>
        <c:axId val="69065728"/>
        <c:axId val="78316288"/>
      </c:barChart>
      <c:catAx>
        <c:axId val="69065728"/>
        <c:scaling>
          <c:orientation val="minMax"/>
        </c:scaling>
        <c:axPos val="b"/>
        <c:numFmt formatCode="General" sourceLinked="1"/>
        <c:tickLblPos val="nextTo"/>
        <c:crossAx val="78316288"/>
        <c:crosses val="autoZero"/>
        <c:auto val="1"/>
        <c:lblAlgn val="ctr"/>
        <c:lblOffset val="100"/>
      </c:catAx>
      <c:valAx>
        <c:axId val="78316288"/>
        <c:scaling>
          <c:orientation val="minMax"/>
        </c:scaling>
        <c:axPos val="l"/>
        <c:majorGridlines/>
        <c:numFmt formatCode="General" sourceLinked="1"/>
        <c:tickLblPos val="nextTo"/>
        <c:crossAx val="69065728"/>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200"/>
            </a:pPr>
            <a:r>
              <a:rPr lang="el-GR" sz="1200"/>
              <a:t>Έλεγχος πιστοποιητικών  </a:t>
            </a:r>
            <a:r>
              <a:rPr lang="en-US" sz="1200"/>
              <a:t>OCABR</a:t>
            </a:r>
            <a:r>
              <a:rPr lang="el-GR" sz="1200"/>
              <a:t> και πιστοποιητικών απελευθέρωσης παρτίδων για προϊόντα με βάση το αίμα ή το πλάσμα αίματος και  ανοσολογικά φαρμακευτικά προϊόντα 2009-2012</a:t>
            </a:r>
            <a:endParaRPr lang="en-US" sz="1200"/>
          </a:p>
        </c:rich>
      </c:tx>
      <c:layout>
        <c:manualLayout>
          <c:xMode val="edge"/>
          <c:yMode val="edge"/>
          <c:x val="0.12356715936823719"/>
          <c:y val="1.1235951742619482E-2"/>
        </c:manualLayout>
      </c:layout>
      <c:overlay val="1"/>
    </c:title>
    <c:plotArea>
      <c:layout>
        <c:manualLayout>
          <c:layoutTarget val="inner"/>
          <c:xMode val="edge"/>
          <c:yMode val="edge"/>
          <c:x val="7.2481466132522904E-2"/>
          <c:y val="0.20637641735928003"/>
          <c:w val="0.70260295811602869"/>
          <c:h val="0.6947233348986066"/>
        </c:manualLayout>
      </c:layout>
      <c:barChart>
        <c:barDir val="col"/>
        <c:grouping val="clustered"/>
        <c:ser>
          <c:idx val="0"/>
          <c:order val="0"/>
          <c:tx>
            <c:strRef>
              <c:f>OCABAR!$A$4</c:f>
              <c:strCache>
                <c:ptCount val="1"/>
                <c:pt idx="0">
                  <c:v>Προϊόντα με βάση το ανθρώπινο αίμα ή πλάσμα αίματος </c:v>
                </c:pt>
              </c:strCache>
            </c:strRef>
          </c:tx>
          <c:dLbls>
            <c:txPr>
              <a:bodyPr/>
              <a:lstStyle/>
              <a:p>
                <a:pPr>
                  <a:defRPr b="1"/>
                </a:pPr>
                <a:endParaRPr lang="en-US"/>
              </a:p>
            </c:txPr>
            <c:showVal val="1"/>
          </c:dLbls>
          <c:cat>
            <c:numRef>
              <c:f>OCABAR!$B$2:$E$2</c:f>
              <c:numCache>
                <c:formatCode>General</c:formatCode>
                <c:ptCount val="4"/>
                <c:pt idx="0">
                  <c:v>2009</c:v>
                </c:pt>
                <c:pt idx="1">
                  <c:v>2010</c:v>
                </c:pt>
                <c:pt idx="2">
                  <c:v>2011</c:v>
                </c:pt>
                <c:pt idx="3">
                  <c:v>2012</c:v>
                </c:pt>
              </c:numCache>
            </c:numRef>
          </c:cat>
          <c:val>
            <c:numRef>
              <c:f>OCABAR!$B$4:$E$4</c:f>
              <c:numCache>
                <c:formatCode>General</c:formatCode>
                <c:ptCount val="4"/>
                <c:pt idx="0">
                  <c:v>85</c:v>
                </c:pt>
                <c:pt idx="1">
                  <c:v>79</c:v>
                </c:pt>
                <c:pt idx="2">
                  <c:v>76</c:v>
                </c:pt>
                <c:pt idx="3">
                  <c:v>75</c:v>
                </c:pt>
              </c:numCache>
            </c:numRef>
          </c:val>
        </c:ser>
        <c:ser>
          <c:idx val="1"/>
          <c:order val="1"/>
          <c:tx>
            <c:strRef>
              <c:f>OCABAR!$A$5</c:f>
              <c:strCache>
                <c:ptCount val="1"/>
                <c:pt idx="0">
                  <c:v>Ανοσολογικά φαρμακευτικά προϊόντα</c:v>
                </c:pt>
              </c:strCache>
            </c:strRef>
          </c:tx>
          <c:dLbls>
            <c:dLbl>
              <c:idx val="0"/>
              <c:layout>
                <c:manualLayout>
                  <c:x val="0"/>
                  <c:y val="1.360020432432954E-2"/>
                </c:manualLayout>
              </c:layout>
              <c:showVal val="1"/>
            </c:dLbl>
            <c:dLbl>
              <c:idx val="1"/>
              <c:layout>
                <c:manualLayout>
                  <c:x val="0"/>
                  <c:y val="-1.360020432432954E-2"/>
                </c:manualLayout>
              </c:layout>
              <c:showVal val="1"/>
            </c:dLbl>
            <c:dLbl>
              <c:idx val="2"/>
              <c:layout>
                <c:manualLayout>
                  <c:x val="0"/>
                  <c:y val="-1.7000255405411925E-2"/>
                </c:manualLayout>
              </c:layout>
              <c:showVal val="1"/>
            </c:dLbl>
            <c:dLbl>
              <c:idx val="3"/>
              <c:layout>
                <c:manualLayout>
                  <c:x val="0"/>
                  <c:y val="-1.7000255405411887E-2"/>
                </c:manualLayout>
              </c:layout>
              <c:showVal val="1"/>
            </c:dLbl>
            <c:txPr>
              <a:bodyPr/>
              <a:lstStyle/>
              <a:p>
                <a:pPr>
                  <a:defRPr b="1"/>
                </a:pPr>
                <a:endParaRPr lang="en-US"/>
              </a:p>
            </c:txPr>
            <c:showVal val="1"/>
          </c:dLbls>
          <c:cat>
            <c:numRef>
              <c:f>OCABAR!$B$2:$E$2</c:f>
              <c:numCache>
                <c:formatCode>General</c:formatCode>
                <c:ptCount val="4"/>
                <c:pt idx="0">
                  <c:v>2009</c:v>
                </c:pt>
                <c:pt idx="1">
                  <c:v>2010</c:v>
                </c:pt>
                <c:pt idx="2">
                  <c:v>2011</c:v>
                </c:pt>
                <c:pt idx="3">
                  <c:v>2012</c:v>
                </c:pt>
              </c:numCache>
            </c:numRef>
          </c:cat>
          <c:val>
            <c:numRef>
              <c:f>OCABAR!$B$5:$E$5</c:f>
              <c:numCache>
                <c:formatCode>General</c:formatCode>
                <c:ptCount val="4"/>
                <c:pt idx="0">
                  <c:v>190</c:v>
                </c:pt>
                <c:pt idx="1">
                  <c:v>152</c:v>
                </c:pt>
                <c:pt idx="2">
                  <c:v>150</c:v>
                </c:pt>
                <c:pt idx="3">
                  <c:v>170</c:v>
                </c:pt>
              </c:numCache>
            </c:numRef>
          </c:val>
        </c:ser>
        <c:axId val="78366208"/>
        <c:axId val="78367744"/>
      </c:barChart>
      <c:catAx>
        <c:axId val="78366208"/>
        <c:scaling>
          <c:orientation val="minMax"/>
        </c:scaling>
        <c:axPos val="b"/>
        <c:numFmt formatCode="General" sourceLinked="1"/>
        <c:tickLblPos val="nextTo"/>
        <c:crossAx val="78367744"/>
        <c:crosses val="autoZero"/>
        <c:auto val="1"/>
        <c:lblAlgn val="ctr"/>
        <c:lblOffset val="100"/>
      </c:catAx>
      <c:valAx>
        <c:axId val="78367744"/>
        <c:scaling>
          <c:orientation val="minMax"/>
        </c:scaling>
        <c:axPos val="l"/>
        <c:majorGridlines/>
        <c:numFmt formatCode="General" sourceLinked="1"/>
        <c:tickLblPos val="nextTo"/>
        <c:crossAx val="78366208"/>
        <c:crosses val="autoZero"/>
        <c:crossBetween val="between"/>
      </c:valAx>
    </c:plotArea>
    <c:legend>
      <c:legendPos val="r"/>
      <c:layout>
        <c:manualLayout>
          <c:xMode val="edge"/>
          <c:yMode val="edge"/>
          <c:x val="0.78868691396253077"/>
          <c:y val="0.22191476542665209"/>
          <c:w val="0.19727803609124694"/>
          <c:h val="0.51392131539113173"/>
        </c:manualLayout>
      </c:layout>
      <c:txPr>
        <a:bodyPr/>
        <a:lstStyle/>
        <a:p>
          <a:pPr>
            <a:defRPr sz="1000"/>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5"/>
  <c:chart>
    <c:title>
      <c:tx>
        <c:rich>
          <a:bodyPr/>
          <a:lstStyle/>
          <a:p>
            <a:pPr>
              <a:defRPr/>
            </a:pPr>
            <a:r>
              <a:rPr lang="el-GR"/>
              <a:t>Αριθμός Συνταγών Κρατικών Νοσηλευτηρίων 20</a:t>
            </a:r>
            <a:r>
              <a:rPr lang="en-US"/>
              <a:t>10</a:t>
            </a:r>
            <a:r>
              <a:rPr lang="el-GR"/>
              <a:t>, 201</a:t>
            </a:r>
            <a:r>
              <a:rPr lang="en-US"/>
              <a:t>1</a:t>
            </a:r>
            <a:r>
              <a:rPr lang="el-GR"/>
              <a:t>, 201</a:t>
            </a:r>
            <a:r>
              <a:rPr lang="en-US"/>
              <a:t>2</a:t>
            </a:r>
            <a:endParaRPr lang="el-GR"/>
          </a:p>
        </c:rich>
      </c:tx>
    </c:title>
    <c:plotArea>
      <c:layout/>
      <c:barChart>
        <c:barDir val="bar"/>
        <c:grouping val="clustered"/>
        <c:ser>
          <c:idx val="0"/>
          <c:order val="0"/>
          <c:tx>
            <c:strRef>
              <c:f>Sheet3!$B$1</c:f>
              <c:strCache>
                <c:ptCount val="1"/>
                <c:pt idx="0">
                  <c:v>συνταγές</c:v>
                </c:pt>
              </c:strCache>
            </c:strRef>
          </c:tx>
          <c:dLbls>
            <c:dLbl>
              <c:idx val="0"/>
              <c:layout>
                <c:manualLayout>
                  <c:x val="-7.8086871644704806E-3"/>
                  <c:y val="0"/>
                </c:manualLayout>
              </c:layout>
              <c:tx>
                <c:rich>
                  <a:bodyPr/>
                  <a:lstStyle/>
                  <a:p>
                    <a:pPr>
                      <a:defRPr/>
                    </a:pPr>
                    <a:r>
                      <a:rPr lang="en-US"/>
                      <a:t>1.494.542</a:t>
                    </a:r>
                  </a:p>
                </c:rich>
              </c:tx>
              <c:numFmt formatCode="#,##0.00" sourceLinked="0"/>
              <c:spPr/>
            </c:dLbl>
            <c:dLbl>
              <c:idx val="1"/>
              <c:layout>
                <c:manualLayout>
                  <c:x val="-7.5850328372203879E-3"/>
                  <c:y val="5.4823434276981833E-7"/>
                </c:manualLayout>
              </c:layout>
              <c:tx>
                <c:rich>
                  <a:bodyPr/>
                  <a:lstStyle/>
                  <a:p>
                    <a:pPr>
                      <a:defRPr/>
                    </a:pPr>
                    <a:r>
                      <a:rPr lang="en-US"/>
                      <a:t>1.563.612</a:t>
                    </a:r>
                  </a:p>
                </c:rich>
              </c:tx>
              <c:numFmt formatCode="#,##0.00" sourceLinked="0"/>
              <c:spPr/>
              <c:dLblPos val="outEnd"/>
            </c:dLbl>
            <c:dLbl>
              <c:idx val="2"/>
              <c:layout>
                <c:manualLayout>
                  <c:x val="-5.2462695457357821E-4"/>
                  <c:y val="2.7411717138490906E-7"/>
                </c:manualLayout>
              </c:layout>
              <c:tx>
                <c:rich>
                  <a:bodyPr/>
                  <a:lstStyle/>
                  <a:p>
                    <a:pPr>
                      <a:defRPr/>
                    </a:pPr>
                    <a:r>
                      <a:rPr lang="en-US"/>
                      <a:t>1.604.160</a:t>
                    </a:r>
                  </a:p>
                </c:rich>
              </c:tx>
              <c:numFmt formatCode="#,##0.00" sourceLinked="0"/>
              <c:spPr/>
              <c:dLblPos val="outEnd"/>
            </c:dLbl>
            <c:showVal val="1"/>
          </c:dLbls>
          <c:cat>
            <c:numRef>
              <c:f>Sheet3!$A$2:$A$4</c:f>
              <c:numCache>
                <c:formatCode>General</c:formatCode>
                <c:ptCount val="3"/>
                <c:pt idx="0">
                  <c:v>2010</c:v>
                </c:pt>
                <c:pt idx="1">
                  <c:v>2011</c:v>
                </c:pt>
                <c:pt idx="2">
                  <c:v>2012</c:v>
                </c:pt>
              </c:numCache>
            </c:numRef>
          </c:cat>
          <c:val>
            <c:numRef>
              <c:f>Sheet3!$B$2:$B$4</c:f>
              <c:numCache>
                <c:formatCode>General</c:formatCode>
                <c:ptCount val="3"/>
                <c:pt idx="0">
                  <c:v>1494542</c:v>
                </c:pt>
                <c:pt idx="1">
                  <c:v>1563612</c:v>
                </c:pt>
                <c:pt idx="2">
                  <c:v>1604160</c:v>
                </c:pt>
              </c:numCache>
            </c:numRef>
          </c:val>
        </c:ser>
        <c:axId val="78392704"/>
        <c:axId val="78414976"/>
      </c:barChart>
      <c:catAx>
        <c:axId val="78392704"/>
        <c:scaling>
          <c:orientation val="maxMin"/>
        </c:scaling>
        <c:axPos val="l"/>
        <c:numFmt formatCode="General" sourceLinked="1"/>
        <c:tickLblPos val="nextTo"/>
        <c:crossAx val="78414976"/>
        <c:crosses val="autoZero"/>
        <c:auto val="1"/>
        <c:lblAlgn val="ctr"/>
        <c:lblOffset val="100"/>
      </c:catAx>
      <c:valAx>
        <c:axId val="78414976"/>
        <c:scaling>
          <c:orientation val="minMax"/>
        </c:scaling>
        <c:delete val="1"/>
        <c:axPos val="t"/>
        <c:numFmt formatCode="General" sourceLinked="1"/>
        <c:tickLblPos val="none"/>
        <c:crossAx val="783927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sz="1400"/>
            </a:pPr>
            <a:r>
              <a:rPr lang="el-GR" sz="1400"/>
              <a:t>Αρ. Φαρμακευτικών Προϊόντων που είχαν άδεια κυκλοφορίας περί το τέλος κάθε έτους 2008-2012</a:t>
            </a:r>
          </a:p>
        </c:rich>
      </c:tx>
    </c:title>
    <c:plotArea>
      <c:layout/>
      <c:barChart>
        <c:barDir val="col"/>
        <c:grouping val="clustered"/>
        <c:ser>
          <c:idx val="0"/>
          <c:order val="0"/>
          <c:tx>
            <c:strRef>
              <c:f>'TOTAL ANNUAL MA'!$A$2</c:f>
              <c:strCache>
                <c:ptCount val="1"/>
                <c:pt idx="0">
                  <c:v>Αρ. ΦΠ που είχαν άδεια κυκλοφορίας περί το τέλος κάθε έτους </c:v>
                </c:pt>
              </c:strCache>
            </c:strRef>
          </c:tx>
          <c:dLbls>
            <c:txPr>
              <a:bodyPr/>
              <a:lstStyle/>
              <a:p>
                <a:pPr>
                  <a:defRPr sz="1100" b="1"/>
                </a:pPr>
                <a:endParaRPr lang="en-US"/>
              </a:p>
            </c:txPr>
            <c:showVal val="1"/>
          </c:dLbls>
          <c:cat>
            <c:numRef>
              <c:f>'TOTAL ANNUAL MA'!$B$1:$F$1</c:f>
              <c:numCache>
                <c:formatCode>General</c:formatCode>
                <c:ptCount val="5"/>
                <c:pt idx="0">
                  <c:v>2008</c:v>
                </c:pt>
                <c:pt idx="1">
                  <c:v>2009</c:v>
                </c:pt>
                <c:pt idx="2">
                  <c:v>2010</c:v>
                </c:pt>
                <c:pt idx="3">
                  <c:v>2011</c:v>
                </c:pt>
                <c:pt idx="4">
                  <c:v>2012</c:v>
                </c:pt>
              </c:numCache>
            </c:numRef>
          </c:cat>
          <c:val>
            <c:numRef>
              <c:f>'TOTAL ANNUAL MA'!$B$2:$F$2</c:f>
              <c:numCache>
                <c:formatCode>General</c:formatCode>
                <c:ptCount val="5"/>
                <c:pt idx="0">
                  <c:v>2745</c:v>
                </c:pt>
                <c:pt idx="1">
                  <c:v>2620</c:v>
                </c:pt>
                <c:pt idx="2">
                  <c:v>3727</c:v>
                </c:pt>
                <c:pt idx="3">
                  <c:v>4448</c:v>
                </c:pt>
                <c:pt idx="4">
                  <c:v>4977</c:v>
                </c:pt>
              </c:numCache>
            </c:numRef>
          </c:val>
        </c:ser>
        <c:axId val="68730240"/>
        <c:axId val="68641920"/>
      </c:barChart>
      <c:catAx>
        <c:axId val="68730240"/>
        <c:scaling>
          <c:orientation val="minMax"/>
        </c:scaling>
        <c:axPos val="b"/>
        <c:numFmt formatCode="General" sourceLinked="1"/>
        <c:tickLblPos val="nextTo"/>
        <c:crossAx val="68641920"/>
        <c:crosses val="autoZero"/>
        <c:auto val="1"/>
        <c:lblAlgn val="ctr"/>
        <c:lblOffset val="100"/>
      </c:catAx>
      <c:valAx>
        <c:axId val="68641920"/>
        <c:scaling>
          <c:orientation val="minMax"/>
        </c:scaling>
        <c:axPos val="l"/>
        <c:majorGridlines/>
        <c:numFmt formatCode="General" sourceLinked="1"/>
        <c:tickLblPos val="nextTo"/>
        <c:crossAx val="687302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pPr>
            <a:r>
              <a:rPr lang="el-GR" sz="1200"/>
              <a:t>Αιτήσεις Εγγραφής και Εκδόσεις Άδειών Κυκλοφορίας Νέων Φαρμακευκευτικών Προϊόντων - 2012 </a:t>
            </a:r>
            <a:endParaRPr lang="en-US" sz="1200"/>
          </a:p>
        </c:rich>
      </c:tx>
      <c:layout>
        <c:manualLayout>
          <c:xMode val="edge"/>
          <c:yMode val="edge"/>
          <c:x val="0.20239863661592591"/>
          <c:y val="1.0690196388768001E-2"/>
        </c:manualLayout>
      </c:layout>
      <c:overlay val="1"/>
    </c:title>
    <c:plotArea>
      <c:layout>
        <c:manualLayout>
          <c:layoutTarget val="inner"/>
          <c:xMode val="edge"/>
          <c:yMode val="edge"/>
          <c:x val="0.24752260130961867"/>
          <c:y val="0.19478906620783493"/>
          <c:w val="0.69842402325174635"/>
          <c:h val="0.71479835787746993"/>
        </c:manualLayout>
      </c:layout>
      <c:barChart>
        <c:barDir val="bar"/>
        <c:grouping val="clustered"/>
        <c:ser>
          <c:idx val="0"/>
          <c:order val="0"/>
          <c:tx>
            <c:strRef>
              <c:f>NEA!$A$4</c:f>
              <c:strCache>
                <c:ptCount val="1"/>
                <c:pt idx="0">
                  <c:v>Εθνικές</c:v>
                </c:pt>
              </c:strCache>
            </c:strRef>
          </c:tx>
          <c:cat>
            <c:multiLvlStrRef>
              <c:f>NEA!$B$2:$K$3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NEA!$B$4:$K$4</c:f>
              <c:numCache>
                <c:formatCode>General</c:formatCode>
                <c:ptCount val="10"/>
                <c:pt idx="0">
                  <c:v>101</c:v>
                </c:pt>
                <c:pt idx="1">
                  <c:v>54</c:v>
                </c:pt>
                <c:pt idx="2">
                  <c:v>75</c:v>
                </c:pt>
                <c:pt idx="3">
                  <c:v>41</c:v>
                </c:pt>
                <c:pt idx="4">
                  <c:v>166</c:v>
                </c:pt>
                <c:pt idx="5">
                  <c:v>94</c:v>
                </c:pt>
                <c:pt idx="6">
                  <c:v>121</c:v>
                </c:pt>
                <c:pt idx="7">
                  <c:v>102</c:v>
                </c:pt>
                <c:pt idx="8">
                  <c:v>98</c:v>
                </c:pt>
                <c:pt idx="9">
                  <c:v>179</c:v>
                </c:pt>
              </c:numCache>
            </c:numRef>
          </c:val>
        </c:ser>
        <c:ser>
          <c:idx val="1"/>
          <c:order val="1"/>
          <c:tx>
            <c:strRef>
              <c:f>NEA!$A$5</c:f>
              <c:strCache>
                <c:ptCount val="1"/>
                <c:pt idx="0">
                  <c:v>Αμοιβαίας Αναγνώρισης/ Αποκεντρωμένης Διαδικασίας </c:v>
                </c:pt>
              </c:strCache>
            </c:strRef>
          </c:tx>
          <c:cat>
            <c:multiLvlStrRef>
              <c:f>NEA!$B$2:$K$3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NEA!$B$5:$K$5</c:f>
              <c:numCache>
                <c:formatCode>General</c:formatCode>
                <c:ptCount val="10"/>
                <c:pt idx="0">
                  <c:v>275</c:v>
                </c:pt>
                <c:pt idx="1">
                  <c:v>80</c:v>
                </c:pt>
                <c:pt idx="2">
                  <c:v>325</c:v>
                </c:pt>
                <c:pt idx="3">
                  <c:v>98</c:v>
                </c:pt>
                <c:pt idx="4">
                  <c:v>354</c:v>
                </c:pt>
                <c:pt idx="5">
                  <c:v>171</c:v>
                </c:pt>
                <c:pt idx="6">
                  <c:v>54</c:v>
                </c:pt>
                <c:pt idx="7">
                  <c:v>205</c:v>
                </c:pt>
                <c:pt idx="8">
                  <c:v>45</c:v>
                </c:pt>
                <c:pt idx="9">
                  <c:v>282</c:v>
                </c:pt>
              </c:numCache>
            </c:numRef>
          </c:val>
        </c:ser>
        <c:ser>
          <c:idx val="2"/>
          <c:order val="2"/>
          <c:tx>
            <c:strRef>
              <c:f>NEA!$A$6</c:f>
              <c:strCache>
                <c:ptCount val="1"/>
                <c:pt idx="0">
                  <c:v>Ειδικές Άδειες</c:v>
                </c:pt>
              </c:strCache>
            </c:strRef>
          </c:tx>
          <c:cat>
            <c:multiLvlStrRef>
              <c:f>NEA!$B$2:$K$3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NEA!$B$6:$K$6</c:f>
              <c:numCache>
                <c:formatCode>General</c:formatCode>
                <c:ptCount val="10"/>
                <c:pt idx="0">
                  <c:v>100</c:v>
                </c:pt>
                <c:pt idx="1">
                  <c:v>70</c:v>
                </c:pt>
                <c:pt idx="2">
                  <c:v>146</c:v>
                </c:pt>
                <c:pt idx="3">
                  <c:v>72</c:v>
                </c:pt>
                <c:pt idx="4">
                  <c:v>123</c:v>
                </c:pt>
                <c:pt idx="5">
                  <c:v>75</c:v>
                </c:pt>
                <c:pt idx="6">
                  <c:v>91</c:v>
                </c:pt>
                <c:pt idx="7">
                  <c:v>90</c:v>
                </c:pt>
                <c:pt idx="8">
                  <c:v>130</c:v>
                </c:pt>
                <c:pt idx="9">
                  <c:v>75</c:v>
                </c:pt>
              </c:numCache>
            </c:numRef>
          </c:val>
        </c:ser>
        <c:overlap val="-4"/>
        <c:axId val="68731648"/>
        <c:axId val="68733184"/>
      </c:barChart>
      <c:catAx>
        <c:axId val="68731648"/>
        <c:scaling>
          <c:orientation val="maxMin"/>
        </c:scaling>
        <c:axPos val="l"/>
        <c:tickLblPos val="nextTo"/>
        <c:crossAx val="68733184"/>
        <c:crosses val="autoZero"/>
        <c:auto val="1"/>
        <c:lblAlgn val="ctr"/>
        <c:lblOffset val="100"/>
      </c:catAx>
      <c:valAx>
        <c:axId val="68733184"/>
        <c:scaling>
          <c:orientation val="minMax"/>
        </c:scaling>
        <c:axPos val="t"/>
        <c:majorGridlines/>
        <c:numFmt formatCode="General" sourceLinked="1"/>
        <c:tickLblPos val="nextTo"/>
        <c:crossAx val="68731648"/>
        <c:crosses val="autoZero"/>
        <c:crossBetween val="between"/>
      </c:valAx>
    </c:plotArea>
    <c:legend>
      <c:legendPos val="r"/>
      <c:layout>
        <c:manualLayout>
          <c:xMode val="edge"/>
          <c:yMode val="edge"/>
          <c:x val="5.7320465150189563E-2"/>
          <c:y val="0.93011248803905056"/>
          <c:w val="0.84352646544181953"/>
          <c:h val="5.6796172316509103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pPr>
            <a:r>
              <a:rPr lang="el-GR" sz="1200"/>
              <a:t>Αιτήσεις και Εκδόσεις Ανανεώσεων Αδειών Κυκλοφορίας Φαρμακευτικών Προϊόντων - 2012</a:t>
            </a:r>
            <a:endParaRPr lang="en-US" sz="1200"/>
          </a:p>
        </c:rich>
      </c:tx>
      <c:layout>
        <c:manualLayout>
          <c:xMode val="edge"/>
          <c:yMode val="edge"/>
          <c:x val="0.14953537547618517"/>
          <c:y val="2.067183462532321E-2"/>
        </c:manualLayout>
      </c:layout>
      <c:overlay val="1"/>
    </c:title>
    <c:plotArea>
      <c:layout>
        <c:manualLayout>
          <c:layoutTarget val="inner"/>
          <c:xMode val="edge"/>
          <c:yMode val="edge"/>
          <c:x val="0.25123841302875372"/>
          <c:y val="0.2028559179293481"/>
          <c:w val="0.6926368109268487"/>
          <c:h val="0.71262161600946017"/>
        </c:manualLayout>
      </c:layout>
      <c:barChart>
        <c:barDir val="bar"/>
        <c:grouping val="clustered"/>
        <c:ser>
          <c:idx val="0"/>
          <c:order val="0"/>
          <c:tx>
            <c:strRef>
              <c:f>ΑΝΑΝΕΩΣΕΙΣ!$A$4</c:f>
              <c:strCache>
                <c:ptCount val="1"/>
                <c:pt idx="0">
                  <c:v>Εθνικές</c:v>
                </c:pt>
              </c:strCache>
            </c:strRef>
          </c:tx>
          <c:cat>
            <c:multiLvlStrRef>
              <c:f>ΑΝΑΝΕΩΣΕΙΣ!$B$2:$K$3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ΑΝΑΝΕΩΣΕΙΣ!$B$4:$K$4</c:f>
              <c:numCache>
                <c:formatCode>General</c:formatCode>
                <c:ptCount val="10"/>
                <c:pt idx="0">
                  <c:v>379</c:v>
                </c:pt>
                <c:pt idx="1">
                  <c:v>88</c:v>
                </c:pt>
                <c:pt idx="2">
                  <c:v>341</c:v>
                </c:pt>
                <c:pt idx="3">
                  <c:v>177</c:v>
                </c:pt>
                <c:pt idx="4">
                  <c:v>535</c:v>
                </c:pt>
                <c:pt idx="5">
                  <c:v>257</c:v>
                </c:pt>
                <c:pt idx="6">
                  <c:v>228</c:v>
                </c:pt>
                <c:pt idx="7">
                  <c:v>418</c:v>
                </c:pt>
                <c:pt idx="8">
                  <c:v>233</c:v>
                </c:pt>
                <c:pt idx="9">
                  <c:v>235</c:v>
                </c:pt>
              </c:numCache>
            </c:numRef>
          </c:val>
        </c:ser>
        <c:ser>
          <c:idx val="1"/>
          <c:order val="1"/>
          <c:tx>
            <c:strRef>
              <c:f>ΑΝΑΝΕΩΣΕΙΣ!$A$5</c:f>
              <c:strCache>
                <c:ptCount val="1"/>
                <c:pt idx="0">
                  <c:v>Αμοιβαίας Αναγνώρισης</c:v>
                </c:pt>
              </c:strCache>
            </c:strRef>
          </c:tx>
          <c:cat>
            <c:multiLvlStrRef>
              <c:f>ΑΝΑΝΕΩΣΕΙΣ!$B$2:$K$3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ΑΝΑΝΕΩΣΕΙΣ!$B$5:$K$5</c:f>
              <c:numCache>
                <c:formatCode>General</c:formatCode>
                <c:ptCount val="10"/>
                <c:pt idx="0">
                  <c:v>84</c:v>
                </c:pt>
                <c:pt idx="1">
                  <c:v>22</c:v>
                </c:pt>
                <c:pt idx="2">
                  <c:v>108</c:v>
                </c:pt>
                <c:pt idx="3">
                  <c:v>18</c:v>
                </c:pt>
                <c:pt idx="4">
                  <c:v>74</c:v>
                </c:pt>
                <c:pt idx="5">
                  <c:v>8</c:v>
                </c:pt>
                <c:pt idx="6">
                  <c:v>124</c:v>
                </c:pt>
                <c:pt idx="7">
                  <c:v>68</c:v>
                </c:pt>
                <c:pt idx="8">
                  <c:v>122</c:v>
                </c:pt>
                <c:pt idx="9">
                  <c:v>118</c:v>
                </c:pt>
              </c:numCache>
            </c:numRef>
          </c:val>
        </c:ser>
        <c:ser>
          <c:idx val="2"/>
          <c:order val="2"/>
          <c:tx>
            <c:strRef>
              <c:f>ΑΝΑΝΕΩΣΕΙΣ!$A$6</c:f>
              <c:strCache>
                <c:ptCount val="1"/>
                <c:pt idx="0">
                  <c:v>Ειδικές Άδειες</c:v>
                </c:pt>
              </c:strCache>
            </c:strRef>
          </c:tx>
          <c:cat>
            <c:multiLvlStrRef>
              <c:f>ΑΝΑΝΕΩΣΕΙΣ!$B$2:$K$3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ΑΝΑΝΕΩΣΕΙΣ!$B$6:$K$6</c:f>
              <c:numCache>
                <c:formatCode>General</c:formatCode>
                <c:ptCount val="10"/>
                <c:pt idx="0">
                  <c:v>134</c:v>
                </c:pt>
                <c:pt idx="1">
                  <c:v>141</c:v>
                </c:pt>
                <c:pt idx="2">
                  <c:v>215</c:v>
                </c:pt>
                <c:pt idx="3">
                  <c:v>174</c:v>
                </c:pt>
                <c:pt idx="4">
                  <c:v>179</c:v>
                </c:pt>
                <c:pt idx="5">
                  <c:v>215</c:v>
                </c:pt>
                <c:pt idx="6">
                  <c:v>219</c:v>
                </c:pt>
                <c:pt idx="7">
                  <c:v>63</c:v>
                </c:pt>
                <c:pt idx="8">
                  <c:v>221</c:v>
                </c:pt>
                <c:pt idx="9">
                  <c:v>275</c:v>
                </c:pt>
              </c:numCache>
            </c:numRef>
          </c:val>
        </c:ser>
        <c:axId val="68754816"/>
        <c:axId val="68768896"/>
      </c:barChart>
      <c:catAx>
        <c:axId val="68754816"/>
        <c:scaling>
          <c:orientation val="maxMin"/>
        </c:scaling>
        <c:axPos val="l"/>
        <c:tickLblPos val="nextTo"/>
        <c:crossAx val="68768896"/>
        <c:crosses val="autoZero"/>
        <c:auto val="1"/>
        <c:lblAlgn val="ctr"/>
        <c:lblOffset val="100"/>
      </c:catAx>
      <c:valAx>
        <c:axId val="68768896"/>
        <c:scaling>
          <c:orientation val="minMax"/>
        </c:scaling>
        <c:axPos val="t"/>
        <c:majorGridlines/>
        <c:numFmt formatCode="General" sourceLinked="1"/>
        <c:tickLblPos val="nextTo"/>
        <c:crossAx val="68754816"/>
        <c:crosses val="autoZero"/>
        <c:crossBetween val="between"/>
      </c:valAx>
    </c:plotArea>
    <c:legend>
      <c:legendPos val="r"/>
      <c:layout>
        <c:manualLayout>
          <c:xMode val="edge"/>
          <c:yMode val="edge"/>
          <c:x val="0"/>
          <c:y val="0.91473302679270352"/>
          <c:w val="0.97097090988626356"/>
          <c:h val="7.6583190259112394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400"/>
            </a:pPr>
            <a:r>
              <a:rPr lang="el-GR" sz="1400" b="1" i="0" u="none" strike="noStrike" baseline="0"/>
              <a:t>Αιτήσεις / Τροποποιήσεις Αδειών Κυκλοφορίας - 2012</a:t>
            </a:r>
            <a:endParaRPr lang="en-US" sz="1400"/>
          </a:p>
        </c:rich>
      </c:tx>
      <c:layout>
        <c:manualLayout>
          <c:xMode val="edge"/>
          <c:yMode val="edge"/>
          <c:x val="0.16959915611814391"/>
          <c:y val="1.9753086419753145E-2"/>
        </c:manualLayout>
      </c:layout>
      <c:overlay val="1"/>
    </c:title>
    <c:plotArea>
      <c:layout>
        <c:manualLayout>
          <c:layoutTarget val="inner"/>
          <c:xMode val="edge"/>
          <c:yMode val="edge"/>
          <c:x val="0.26112977175321533"/>
          <c:y val="0.1746093066491689"/>
          <c:w val="0.67862860892389121"/>
          <c:h val="0.74666475284339728"/>
        </c:manualLayout>
      </c:layout>
      <c:barChart>
        <c:barDir val="bar"/>
        <c:grouping val="clustered"/>
        <c:ser>
          <c:idx val="0"/>
          <c:order val="0"/>
          <c:tx>
            <c:strRef>
              <c:f>ΤΡΟΠΟΙΗΣΕΙΣ!$A$4</c:f>
              <c:strCache>
                <c:ptCount val="1"/>
                <c:pt idx="0">
                  <c:v>Εθνικές</c:v>
                </c:pt>
              </c:strCache>
            </c:strRef>
          </c:tx>
          <c:cat>
            <c:multiLvlStrRef>
              <c:f>ΤΡΟΠΟΙΗΣΕΙΣ!$B$2:$K$3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ΤΡΟΠΟΙΗΣΕΙΣ!$B$4:$K$4</c:f>
              <c:numCache>
                <c:formatCode>General</c:formatCode>
                <c:ptCount val="10"/>
                <c:pt idx="0">
                  <c:v>2736</c:v>
                </c:pt>
                <c:pt idx="1">
                  <c:v>2283</c:v>
                </c:pt>
                <c:pt idx="2">
                  <c:v>2333</c:v>
                </c:pt>
                <c:pt idx="3">
                  <c:v>2531</c:v>
                </c:pt>
                <c:pt idx="4">
                  <c:v>2674</c:v>
                </c:pt>
                <c:pt idx="5">
                  <c:v>3033</c:v>
                </c:pt>
                <c:pt idx="6">
                  <c:v>2854</c:v>
                </c:pt>
                <c:pt idx="7">
                  <c:v>2415</c:v>
                </c:pt>
                <c:pt idx="8">
                  <c:v>4802</c:v>
                </c:pt>
                <c:pt idx="9">
                  <c:v>3009</c:v>
                </c:pt>
              </c:numCache>
            </c:numRef>
          </c:val>
        </c:ser>
        <c:ser>
          <c:idx val="1"/>
          <c:order val="1"/>
          <c:tx>
            <c:strRef>
              <c:f>ΤΡΟΠΟΙΗΣΕΙΣ!$A$5</c:f>
              <c:strCache>
                <c:ptCount val="1"/>
                <c:pt idx="0">
                  <c:v>Αμοιβαίας Αναγνώρισης</c:v>
                </c:pt>
              </c:strCache>
            </c:strRef>
          </c:tx>
          <c:cat>
            <c:multiLvlStrRef>
              <c:f>ΤΡΟΠΟΙΗΣΕΙΣ!$B$2:$K$3</c:f>
              <c:multiLvlStrCache>
                <c:ptCount val="10"/>
                <c:lvl>
                  <c:pt idx="0">
                    <c:v>Αρ. Αιτήσεων</c:v>
                  </c:pt>
                  <c:pt idx="1">
                    <c:v>Αρ. Αδειών</c:v>
                  </c:pt>
                  <c:pt idx="2">
                    <c:v>Αρ. Αιτήσεων</c:v>
                  </c:pt>
                  <c:pt idx="3">
                    <c:v>Αρ. Αδειών</c:v>
                  </c:pt>
                  <c:pt idx="4">
                    <c:v>Αρ. Αιτήσεων</c:v>
                  </c:pt>
                  <c:pt idx="5">
                    <c:v>Αρ. Αδειών</c:v>
                  </c:pt>
                  <c:pt idx="6">
                    <c:v>Αρ. Αιτήσεων</c:v>
                  </c:pt>
                  <c:pt idx="7">
                    <c:v>Αρ. Αδειών</c:v>
                  </c:pt>
                  <c:pt idx="8">
                    <c:v>Αρ. Αιτήσεων</c:v>
                  </c:pt>
                  <c:pt idx="9">
                    <c:v>Αρ. Αδειών</c:v>
                  </c:pt>
                </c:lvl>
                <c:lvl>
                  <c:pt idx="0">
                    <c:v>2008</c:v>
                  </c:pt>
                  <c:pt idx="2">
                    <c:v>2009</c:v>
                  </c:pt>
                  <c:pt idx="4">
                    <c:v>2010</c:v>
                  </c:pt>
                  <c:pt idx="6">
                    <c:v>2011</c:v>
                  </c:pt>
                  <c:pt idx="8">
                    <c:v>2012</c:v>
                  </c:pt>
                </c:lvl>
              </c:multiLvlStrCache>
            </c:multiLvlStrRef>
          </c:cat>
          <c:val>
            <c:numRef>
              <c:f>ΤΡΟΠΟΙΗΣΕΙΣ!$B$5:$K$5</c:f>
              <c:numCache>
                <c:formatCode>General</c:formatCode>
                <c:ptCount val="10"/>
                <c:pt idx="0">
                  <c:v>1543</c:v>
                </c:pt>
                <c:pt idx="1">
                  <c:v>1055</c:v>
                </c:pt>
                <c:pt idx="2">
                  <c:v>1862</c:v>
                </c:pt>
                <c:pt idx="3">
                  <c:v>1153</c:v>
                </c:pt>
                <c:pt idx="4">
                  <c:v>3812</c:v>
                </c:pt>
                <c:pt idx="5">
                  <c:v>1439</c:v>
                </c:pt>
                <c:pt idx="6">
                  <c:v>5649</c:v>
                </c:pt>
                <c:pt idx="7">
                  <c:v>2288</c:v>
                </c:pt>
                <c:pt idx="8">
                  <c:v>6005</c:v>
                </c:pt>
                <c:pt idx="9">
                  <c:v>2754</c:v>
                </c:pt>
              </c:numCache>
            </c:numRef>
          </c:val>
        </c:ser>
        <c:axId val="68781568"/>
        <c:axId val="68783104"/>
      </c:barChart>
      <c:catAx>
        <c:axId val="68781568"/>
        <c:scaling>
          <c:orientation val="maxMin"/>
        </c:scaling>
        <c:axPos val="l"/>
        <c:numFmt formatCode="General" sourceLinked="1"/>
        <c:tickLblPos val="nextTo"/>
        <c:crossAx val="68783104"/>
        <c:crosses val="autoZero"/>
        <c:auto val="1"/>
        <c:lblAlgn val="ctr"/>
        <c:lblOffset val="100"/>
      </c:catAx>
      <c:valAx>
        <c:axId val="68783104"/>
        <c:scaling>
          <c:orientation val="minMax"/>
          <c:max val="7000"/>
        </c:scaling>
        <c:axPos val="t"/>
        <c:majorGridlines/>
        <c:numFmt formatCode="General" sourceLinked="1"/>
        <c:tickLblPos val="nextTo"/>
        <c:crossAx val="68781568"/>
        <c:crosses val="autoZero"/>
        <c:crossBetween val="between"/>
        <c:majorUnit val="1000"/>
      </c:valAx>
    </c:plotArea>
    <c:legend>
      <c:legendPos val="r"/>
      <c:layout>
        <c:manualLayout>
          <c:xMode val="edge"/>
          <c:yMode val="edge"/>
          <c:x val="0.11514020122484689"/>
          <c:y val="0.92583680224685294"/>
          <c:w val="0.74041535433070871"/>
          <c:h val="7.0212160979877508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2"/>
  <c:chart>
    <c:title>
      <c:tx>
        <c:rich>
          <a:bodyPr/>
          <a:lstStyle/>
          <a:p>
            <a:pPr>
              <a:defRPr sz="1400"/>
            </a:pPr>
            <a:r>
              <a:rPr lang="el-GR" sz="1400" b="1" i="0" u="none" strike="noStrike" baseline="0"/>
              <a:t>Προϊόντα Κεντρικής Διαδικασίας για τα οποία ελέχθησαν οι Μεταφράσεις 2008-2012</a:t>
            </a:r>
            <a:endParaRPr lang="en-US" sz="1400"/>
          </a:p>
        </c:rich>
      </c:tx>
      <c:layout>
        <c:manualLayout>
          <c:xMode val="edge"/>
          <c:yMode val="edge"/>
          <c:x val="0.16747649423568889"/>
          <c:y val="2.7777756696075732E-2"/>
        </c:manualLayout>
      </c:layout>
    </c:title>
    <c:plotArea>
      <c:layout>
        <c:manualLayout>
          <c:layoutTarget val="inner"/>
          <c:xMode val="edge"/>
          <c:yMode val="edge"/>
          <c:x val="7.1988407699037624E-2"/>
          <c:y val="0.17602125035575372"/>
          <c:w val="0.89745603674540686"/>
          <c:h val="0.73114707649495703"/>
        </c:manualLayout>
      </c:layout>
      <c:barChart>
        <c:barDir val="col"/>
        <c:grouping val="clustered"/>
        <c:ser>
          <c:idx val="0"/>
          <c:order val="0"/>
          <c:tx>
            <c:strRef>
              <c:f>CAP!$A$3</c:f>
              <c:strCache>
                <c:ptCount val="1"/>
              </c:strCache>
            </c:strRef>
          </c:tx>
          <c:dLbls>
            <c:dLbl>
              <c:idx val="1"/>
              <c:layout>
                <c:manualLayout>
                  <c:x val="3.867747161930143E-17"/>
                  <c:y val="1.285140562248996E-2"/>
                </c:manualLayout>
              </c:layout>
              <c:dLblPos val="outEnd"/>
              <c:showVal val="1"/>
            </c:dLbl>
            <c:txPr>
              <a:bodyPr/>
              <a:lstStyle/>
              <a:p>
                <a:pPr>
                  <a:defRPr b="1"/>
                </a:pPr>
                <a:endParaRPr lang="en-US"/>
              </a:p>
            </c:txPr>
            <c:dLblPos val="outEnd"/>
            <c:showVal val="1"/>
          </c:dLbls>
          <c:cat>
            <c:numRef>
              <c:f>CAP!$B$2:$F$2</c:f>
              <c:numCache>
                <c:formatCode>General</c:formatCode>
                <c:ptCount val="5"/>
                <c:pt idx="0">
                  <c:v>2008</c:v>
                </c:pt>
                <c:pt idx="1">
                  <c:v>2009</c:v>
                </c:pt>
                <c:pt idx="2">
                  <c:v>2010</c:v>
                </c:pt>
                <c:pt idx="3">
                  <c:v>2011</c:v>
                </c:pt>
                <c:pt idx="4">
                  <c:v>2012</c:v>
                </c:pt>
              </c:numCache>
            </c:numRef>
          </c:cat>
          <c:val>
            <c:numRef>
              <c:f>CAP!$B$3:$F$3</c:f>
              <c:numCache>
                <c:formatCode>General</c:formatCode>
                <c:ptCount val="5"/>
                <c:pt idx="0">
                  <c:v>50</c:v>
                </c:pt>
                <c:pt idx="1">
                  <c:v>76</c:v>
                </c:pt>
                <c:pt idx="2">
                  <c:v>54</c:v>
                </c:pt>
                <c:pt idx="3">
                  <c:v>73</c:v>
                </c:pt>
                <c:pt idx="4">
                  <c:v>53</c:v>
                </c:pt>
              </c:numCache>
            </c:numRef>
          </c:val>
        </c:ser>
        <c:axId val="68551040"/>
        <c:axId val="68552576"/>
      </c:barChart>
      <c:catAx>
        <c:axId val="68551040"/>
        <c:scaling>
          <c:orientation val="minMax"/>
        </c:scaling>
        <c:axPos val="b"/>
        <c:numFmt formatCode="General" sourceLinked="1"/>
        <c:majorTickMark val="none"/>
        <c:tickLblPos val="nextTo"/>
        <c:crossAx val="68552576"/>
        <c:crosses val="autoZero"/>
        <c:auto val="1"/>
        <c:lblAlgn val="ctr"/>
        <c:lblOffset val="100"/>
      </c:catAx>
      <c:valAx>
        <c:axId val="68552576"/>
        <c:scaling>
          <c:orientation val="minMax"/>
        </c:scaling>
        <c:axPos val="l"/>
        <c:majorGridlines/>
        <c:numFmt formatCode="General" sourceLinked="1"/>
        <c:majorTickMark val="none"/>
        <c:tickLblPos val="nextTo"/>
        <c:crossAx val="6855104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600"/>
            </a:pPr>
            <a:r>
              <a:rPr lang="el-GR" sz="1600" b="1" i="0" u="none" strike="noStrike" baseline="0"/>
              <a:t>Επιθεωρήσεις 2008-2012</a:t>
            </a:r>
            <a:endParaRPr lang="en-US" sz="1600"/>
          </a:p>
        </c:rich>
      </c:tx>
      <c:overlay val="1"/>
    </c:title>
    <c:plotArea>
      <c:layout>
        <c:manualLayout>
          <c:layoutTarget val="inner"/>
          <c:xMode val="edge"/>
          <c:yMode val="edge"/>
          <c:x val="5.3779575163398687E-2"/>
          <c:y val="0.15556444333347294"/>
          <c:w val="0.625058823529415"/>
          <c:h val="0.7560699357024816"/>
        </c:manualLayout>
      </c:layout>
      <c:barChart>
        <c:barDir val="col"/>
        <c:grouping val="clustered"/>
        <c:ser>
          <c:idx val="0"/>
          <c:order val="0"/>
          <c:tx>
            <c:strRef>
              <c:f>INSPECTIONS!$A$3</c:f>
              <c:strCache>
                <c:ptCount val="1"/>
                <c:pt idx="0">
                  <c:v>Επιθ. Υποστατικών παρασκευής / εισαγωγής από 3ες χώρες (GMP)</c:v>
                </c:pt>
              </c:strCache>
            </c:strRef>
          </c:tx>
          <c:cat>
            <c:numRef>
              <c:f>INSPECTIONS!$B$2:$F$2</c:f>
              <c:numCache>
                <c:formatCode>General</c:formatCode>
                <c:ptCount val="5"/>
                <c:pt idx="0">
                  <c:v>2008</c:v>
                </c:pt>
                <c:pt idx="1">
                  <c:v>2009</c:v>
                </c:pt>
                <c:pt idx="2">
                  <c:v>2010</c:v>
                </c:pt>
                <c:pt idx="3">
                  <c:v>2011</c:v>
                </c:pt>
                <c:pt idx="4">
                  <c:v>2012</c:v>
                </c:pt>
              </c:numCache>
            </c:numRef>
          </c:cat>
          <c:val>
            <c:numRef>
              <c:f>INSPECTIONS!$B$3:$F$3</c:f>
              <c:numCache>
                <c:formatCode>General</c:formatCode>
                <c:ptCount val="5"/>
                <c:pt idx="0">
                  <c:v>18</c:v>
                </c:pt>
                <c:pt idx="1">
                  <c:v>21</c:v>
                </c:pt>
                <c:pt idx="2">
                  <c:v>14</c:v>
                </c:pt>
                <c:pt idx="3">
                  <c:v>20</c:v>
                </c:pt>
                <c:pt idx="4">
                  <c:v>18</c:v>
                </c:pt>
              </c:numCache>
            </c:numRef>
          </c:val>
        </c:ser>
        <c:ser>
          <c:idx val="1"/>
          <c:order val="1"/>
          <c:tx>
            <c:strRef>
              <c:f>INSPECTIONS!$A$4</c:f>
              <c:strCache>
                <c:ptCount val="1"/>
                <c:pt idx="0">
                  <c:v>Επιθ. Υποστατικών Χονδροπωλών (GDP)</c:v>
                </c:pt>
              </c:strCache>
            </c:strRef>
          </c:tx>
          <c:cat>
            <c:numRef>
              <c:f>INSPECTIONS!$B$2:$F$2</c:f>
              <c:numCache>
                <c:formatCode>General</c:formatCode>
                <c:ptCount val="5"/>
                <c:pt idx="0">
                  <c:v>2008</c:v>
                </c:pt>
                <c:pt idx="1">
                  <c:v>2009</c:v>
                </c:pt>
                <c:pt idx="2">
                  <c:v>2010</c:v>
                </c:pt>
                <c:pt idx="3">
                  <c:v>2011</c:v>
                </c:pt>
                <c:pt idx="4">
                  <c:v>2012</c:v>
                </c:pt>
              </c:numCache>
            </c:numRef>
          </c:cat>
          <c:val>
            <c:numRef>
              <c:f>INSPECTIONS!$B$4:$F$4</c:f>
              <c:numCache>
                <c:formatCode>General</c:formatCode>
                <c:ptCount val="5"/>
                <c:pt idx="0">
                  <c:v>37</c:v>
                </c:pt>
                <c:pt idx="1">
                  <c:v>34</c:v>
                </c:pt>
                <c:pt idx="2">
                  <c:v>15</c:v>
                </c:pt>
                <c:pt idx="3">
                  <c:v>37</c:v>
                </c:pt>
                <c:pt idx="4">
                  <c:v>28</c:v>
                </c:pt>
              </c:numCache>
            </c:numRef>
          </c:val>
        </c:ser>
        <c:ser>
          <c:idx val="2"/>
          <c:order val="2"/>
          <c:tx>
            <c:strRef>
              <c:f>INSPECTIONS!$A$5</c:f>
              <c:strCache>
                <c:ptCount val="1"/>
                <c:pt idx="0">
                  <c:v>Επιθεωρήσεις Εργαστηρίων με σύμβαση</c:v>
                </c:pt>
              </c:strCache>
            </c:strRef>
          </c:tx>
          <c:cat>
            <c:numRef>
              <c:f>INSPECTIONS!$B$2:$F$2</c:f>
              <c:numCache>
                <c:formatCode>General</c:formatCode>
                <c:ptCount val="5"/>
                <c:pt idx="0">
                  <c:v>2008</c:v>
                </c:pt>
                <c:pt idx="1">
                  <c:v>2009</c:v>
                </c:pt>
                <c:pt idx="2">
                  <c:v>2010</c:v>
                </c:pt>
                <c:pt idx="3">
                  <c:v>2011</c:v>
                </c:pt>
                <c:pt idx="4">
                  <c:v>2012</c:v>
                </c:pt>
              </c:numCache>
            </c:numRef>
          </c:cat>
          <c:val>
            <c:numRef>
              <c:f>INSPECTIONS!$B$5:$F$5</c:f>
              <c:numCache>
                <c:formatCode>General</c:formatCode>
                <c:ptCount val="5"/>
                <c:pt idx="0">
                  <c:v>0</c:v>
                </c:pt>
                <c:pt idx="1">
                  <c:v>2</c:v>
                </c:pt>
                <c:pt idx="2">
                  <c:v>0</c:v>
                </c:pt>
                <c:pt idx="3">
                  <c:v>1</c:v>
                </c:pt>
                <c:pt idx="4">
                  <c:v>1</c:v>
                </c:pt>
              </c:numCache>
            </c:numRef>
          </c:val>
        </c:ser>
        <c:ser>
          <c:idx val="3"/>
          <c:order val="3"/>
          <c:tx>
            <c:strRef>
              <c:f>INSPECTIONS!$A$6</c:f>
              <c:strCache>
                <c:ptCount val="1"/>
                <c:pt idx="0">
                  <c:v>Έκτακτες Επιθεωρήσεις για διερευνήσεις λόγω καταγγελιών</c:v>
                </c:pt>
              </c:strCache>
            </c:strRef>
          </c:tx>
          <c:cat>
            <c:numRef>
              <c:f>INSPECTIONS!$B$2:$F$2</c:f>
              <c:numCache>
                <c:formatCode>General</c:formatCode>
                <c:ptCount val="5"/>
                <c:pt idx="0">
                  <c:v>2008</c:v>
                </c:pt>
                <c:pt idx="1">
                  <c:v>2009</c:v>
                </c:pt>
                <c:pt idx="2">
                  <c:v>2010</c:v>
                </c:pt>
                <c:pt idx="3">
                  <c:v>2011</c:v>
                </c:pt>
                <c:pt idx="4">
                  <c:v>2012</c:v>
                </c:pt>
              </c:numCache>
            </c:numRef>
          </c:cat>
          <c:val>
            <c:numRef>
              <c:f>INSPECTIONS!$B$6:$F$6</c:f>
              <c:numCache>
                <c:formatCode>General</c:formatCode>
                <c:ptCount val="5"/>
                <c:pt idx="0">
                  <c:v>10</c:v>
                </c:pt>
                <c:pt idx="1">
                  <c:v>5</c:v>
                </c:pt>
                <c:pt idx="2">
                  <c:v>16</c:v>
                </c:pt>
                <c:pt idx="3">
                  <c:v>10</c:v>
                </c:pt>
                <c:pt idx="4">
                  <c:v>10</c:v>
                </c:pt>
              </c:numCache>
            </c:numRef>
          </c:val>
        </c:ser>
        <c:axId val="68593920"/>
        <c:axId val="68599808"/>
      </c:barChart>
      <c:catAx>
        <c:axId val="68593920"/>
        <c:scaling>
          <c:orientation val="minMax"/>
        </c:scaling>
        <c:axPos val="b"/>
        <c:numFmt formatCode="General" sourceLinked="1"/>
        <c:tickLblPos val="nextTo"/>
        <c:crossAx val="68599808"/>
        <c:crosses val="autoZero"/>
        <c:auto val="1"/>
        <c:lblAlgn val="ctr"/>
        <c:lblOffset val="100"/>
      </c:catAx>
      <c:valAx>
        <c:axId val="68599808"/>
        <c:scaling>
          <c:orientation val="minMax"/>
        </c:scaling>
        <c:axPos val="l"/>
        <c:majorGridlines/>
        <c:numFmt formatCode="General" sourceLinked="1"/>
        <c:tickLblPos val="nextTo"/>
        <c:crossAx val="68593920"/>
        <c:crosses val="autoZero"/>
        <c:crossBetween val="between"/>
      </c:valAx>
    </c:plotArea>
    <c:legend>
      <c:legendPos val="r"/>
      <c:layout>
        <c:manualLayout>
          <c:xMode val="edge"/>
          <c:yMode val="edge"/>
          <c:x val="0.72034166666666832"/>
          <c:y val="0.28718993459150927"/>
          <c:w val="0.26720735294117537"/>
          <c:h val="0.60551431071116057"/>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200"/>
            </a:pPr>
            <a:r>
              <a:rPr lang="el-GR" sz="1200" b="1" i="0" u="none" strike="noStrike" baseline="0"/>
              <a:t>Εκδόσεις, ανανεώσεις, τροποποιήσεις αδειών παρασκευής/ χονδρικής πώλησης / εισαγωγές τρίτων χωρών  2008-2012</a:t>
            </a:r>
            <a:endParaRPr lang="en-US" sz="1200"/>
          </a:p>
        </c:rich>
      </c:tx>
      <c:layout>
        <c:manualLayout>
          <c:xMode val="edge"/>
          <c:yMode val="edge"/>
          <c:x val="0.13059493464052291"/>
          <c:y val="0"/>
        </c:manualLayout>
      </c:layout>
    </c:title>
    <c:plotArea>
      <c:layout>
        <c:manualLayout>
          <c:layoutTarget val="inner"/>
          <c:xMode val="edge"/>
          <c:yMode val="edge"/>
          <c:x val="4.6930882352941183E-2"/>
          <c:y val="0.16839564108927646"/>
          <c:w val="0.65092450980392169"/>
          <c:h val="0.75771044378764951"/>
        </c:manualLayout>
      </c:layout>
      <c:barChart>
        <c:barDir val="col"/>
        <c:grouping val="clustered"/>
        <c:ser>
          <c:idx val="0"/>
          <c:order val="0"/>
          <c:tx>
            <c:strRef>
              <c:f>'INSPECTIONS LICENCES (2012)'!$A$3</c:f>
              <c:strCache>
                <c:ptCount val="1"/>
                <c:pt idx="0">
                  <c:v>Έκδοση Αδειών Χονδρικής Πώλησης.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(2012)'!$B$3:$F$3</c:f>
              <c:numCache>
                <c:formatCode>General</c:formatCode>
                <c:ptCount val="5"/>
                <c:pt idx="0">
                  <c:v>3</c:v>
                </c:pt>
                <c:pt idx="1">
                  <c:v>2</c:v>
                </c:pt>
                <c:pt idx="2">
                  <c:v>5</c:v>
                </c:pt>
                <c:pt idx="3">
                  <c:v>8</c:v>
                </c:pt>
                <c:pt idx="4">
                  <c:v>6</c:v>
                </c:pt>
              </c:numCache>
            </c:numRef>
          </c:val>
        </c:ser>
        <c:ser>
          <c:idx val="1"/>
          <c:order val="1"/>
          <c:tx>
            <c:strRef>
              <c:f>'INSPECTIONS LICENCES (2012)'!$A$4</c:f>
              <c:strCache>
                <c:ptCount val="1"/>
                <c:pt idx="0">
                  <c:v>Ανανέωση Αδειών Χονδρικής Πώλησης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(2012)'!$B$4:$F$4</c:f>
              <c:numCache>
                <c:formatCode>General</c:formatCode>
                <c:ptCount val="5"/>
                <c:pt idx="0">
                  <c:v>11</c:v>
                </c:pt>
                <c:pt idx="1">
                  <c:v>17</c:v>
                </c:pt>
                <c:pt idx="2">
                  <c:v>17</c:v>
                </c:pt>
                <c:pt idx="3">
                  <c:v>9</c:v>
                </c:pt>
                <c:pt idx="4">
                  <c:v>4</c:v>
                </c:pt>
              </c:numCache>
            </c:numRef>
          </c:val>
        </c:ser>
        <c:ser>
          <c:idx val="2"/>
          <c:order val="2"/>
          <c:tx>
            <c:strRef>
              <c:f>'INSPECTIONS LICENCES (2012)'!$A$5</c:f>
              <c:strCache>
                <c:ptCount val="1"/>
                <c:pt idx="0">
                  <c:v>Τροποποίηση Αδειών Χονδρικής Πώλησης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(2012)'!$B$5:$F$5</c:f>
              <c:numCache>
                <c:formatCode>General</c:formatCode>
                <c:ptCount val="5"/>
                <c:pt idx="0">
                  <c:v>2</c:v>
                </c:pt>
                <c:pt idx="1">
                  <c:v>2</c:v>
                </c:pt>
                <c:pt idx="2">
                  <c:v>1</c:v>
                </c:pt>
                <c:pt idx="3">
                  <c:v>3</c:v>
                </c:pt>
                <c:pt idx="4">
                  <c:v>0</c:v>
                </c:pt>
              </c:numCache>
            </c:numRef>
          </c:val>
        </c:ser>
        <c:ser>
          <c:idx val="3"/>
          <c:order val="3"/>
          <c:tx>
            <c:strRef>
              <c:f>'INSPECTIONS LICENCES (2012)'!$A$6</c:f>
              <c:strCache>
                <c:ptCount val="1"/>
                <c:pt idx="0">
                  <c:v>Ανανέωση Αδειών Παρασκευής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(2012)'!$B$6:$F$6</c:f>
              <c:numCache>
                <c:formatCode>General</c:formatCode>
                <c:ptCount val="5"/>
                <c:pt idx="0">
                  <c:v>1</c:v>
                </c:pt>
                <c:pt idx="1">
                  <c:v>2</c:v>
                </c:pt>
                <c:pt idx="2">
                  <c:v>3</c:v>
                </c:pt>
                <c:pt idx="3">
                  <c:v>0</c:v>
                </c:pt>
                <c:pt idx="4">
                  <c:v>1</c:v>
                </c:pt>
              </c:numCache>
            </c:numRef>
          </c:val>
        </c:ser>
        <c:ser>
          <c:idx val="4"/>
          <c:order val="4"/>
          <c:tx>
            <c:strRef>
              <c:f>'INSPECTIONS LICENCES (2012)'!$A$7</c:f>
              <c:strCache>
                <c:ptCount val="1"/>
                <c:pt idx="0">
                  <c:v>Τροποποίηση Άδειών Παρασκευής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(2012)'!$B$7:$F$7</c:f>
              <c:numCache>
                <c:formatCode>General</c:formatCode>
                <c:ptCount val="5"/>
                <c:pt idx="0">
                  <c:v>0</c:v>
                </c:pt>
                <c:pt idx="1">
                  <c:v>2</c:v>
                </c:pt>
                <c:pt idx="2">
                  <c:v>5</c:v>
                </c:pt>
                <c:pt idx="3">
                  <c:v>1</c:v>
                </c:pt>
                <c:pt idx="4">
                  <c:v>4</c:v>
                </c:pt>
              </c:numCache>
            </c:numRef>
          </c:val>
        </c:ser>
        <c:ser>
          <c:idx val="5"/>
          <c:order val="5"/>
          <c:tx>
            <c:strRef>
              <c:f>'INSPECTIONS LICENCES (2012)'!$A$8</c:f>
              <c:strCache>
                <c:ptCount val="1"/>
                <c:pt idx="0">
                  <c:v>Έκδοση Αδειών Μερικής Παρασκευής.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(2012)'!$B$8:$F$8</c:f>
              <c:numCache>
                <c:formatCode>General</c:formatCode>
                <c:ptCount val="5"/>
                <c:pt idx="0">
                  <c:v>0</c:v>
                </c:pt>
                <c:pt idx="1">
                  <c:v>1</c:v>
                </c:pt>
                <c:pt idx="2">
                  <c:v>0</c:v>
                </c:pt>
                <c:pt idx="3">
                  <c:v>1</c:v>
                </c:pt>
                <c:pt idx="4">
                  <c:v>0</c:v>
                </c:pt>
              </c:numCache>
            </c:numRef>
          </c:val>
        </c:ser>
        <c:ser>
          <c:idx val="6"/>
          <c:order val="6"/>
          <c:tx>
            <c:strRef>
              <c:f>'INSPECTIONS LICENCES (2012)'!$A$9</c:f>
              <c:strCache>
                <c:ptCount val="1"/>
                <c:pt idx="0">
                  <c:v>Ανανέωση Άδειών Εισαγωγής από Τρίτες Χώρες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(2012)'!$B$9:$F$9</c:f>
              <c:numCache>
                <c:formatCode>General</c:formatCode>
                <c:ptCount val="5"/>
                <c:pt idx="0">
                  <c:v>4</c:v>
                </c:pt>
                <c:pt idx="1">
                  <c:v>2</c:v>
                </c:pt>
                <c:pt idx="2">
                  <c:v>1</c:v>
                </c:pt>
                <c:pt idx="3">
                  <c:v>0</c:v>
                </c:pt>
                <c:pt idx="4">
                  <c:v>7</c:v>
                </c:pt>
              </c:numCache>
            </c:numRef>
          </c:val>
        </c:ser>
        <c:ser>
          <c:idx val="7"/>
          <c:order val="7"/>
          <c:tx>
            <c:strRef>
              <c:f>'INSPECTIONS LICENCES (2012)'!$A$10</c:f>
              <c:strCache>
                <c:ptCount val="1"/>
                <c:pt idx="0">
                  <c:v>Τροποποίηση Άδειών Εισαγωγής από Τρίτες Χώρες</c:v>
                </c:pt>
              </c:strCache>
            </c:strRef>
          </c:tx>
          <c:cat>
            <c:numRef>
              <c:f>'INSPECTIONS LICENCES (2012)'!$B$2:$F$2</c:f>
              <c:numCache>
                <c:formatCode>General</c:formatCode>
                <c:ptCount val="5"/>
                <c:pt idx="0">
                  <c:v>2008</c:v>
                </c:pt>
                <c:pt idx="1">
                  <c:v>2009</c:v>
                </c:pt>
                <c:pt idx="2">
                  <c:v>2010</c:v>
                </c:pt>
                <c:pt idx="3">
                  <c:v>2011</c:v>
                </c:pt>
                <c:pt idx="4">
                  <c:v>2012</c:v>
                </c:pt>
              </c:numCache>
            </c:numRef>
          </c:cat>
          <c:val>
            <c:numRef>
              <c:f>'INSPECTIONS LICENCES (2012)'!$B$10:$F$10</c:f>
              <c:numCache>
                <c:formatCode>General</c:formatCode>
                <c:ptCount val="5"/>
                <c:pt idx="0">
                  <c:v>0</c:v>
                </c:pt>
                <c:pt idx="1">
                  <c:v>4</c:v>
                </c:pt>
                <c:pt idx="2">
                  <c:v>1</c:v>
                </c:pt>
                <c:pt idx="3">
                  <c:v>0</c:v>
                </c:pt>
                <c:pt idx="4">
                  <c:v>1</c:v>
                </c:pt>
              </c:numCache>
            </c:numRef>
          </c:val>
        </c:ser>
        <c:axId val="68859008"/>
        <c:axId val="68860544"/>
      </c:barChart>
      <c:catAx>
        <c:axId val="68859008"/>
        <c:scaling>
          <c:orientation val="minMax"/>
        </c:scaling>
        <c:axPos val="b"/>
        <c:numFmt formatCode="General" sourceLinked="1"/>
        <c:majorTickMark val="none"/>
        <c:tickLblPos val="nextTo"/>
        <c:crossAx val="68860544"/>
        <c:crosses val="autoZero"/>
        <c:auto val="1"/>
        <c:lblAlgn val="ctr"/>
        <c:lblOffset val="100"/>
      </c:catAx>
      <c:valAx>
        <c:axId val="68860544"/>
        <c:scaling>
          <c:orientation val="minMax"/>
        </c:scaling>
        <c:axPos val="l"/>
        <c:majorGridlines/>
        <c:numFmt formatCode="General" sourceLinked="1"/>
        <c:majorTickMark val="none"/>
        <c:tickLblPos val="nextTo"/>
        <c:crossAx val="68859008"/>
        <c:crosses val="autoZero"/>
        <c:crossBetween val="between"/>
      </c:valAx>
    </c:plotArea>
    <c:legend>
      <c:legendPos val="r"/>
      <c:layout>
        <c:manualLayout>
          <c:xMode val="edge"/>
          <c:yMode val="edge"/>
          <c:x val="0.71046830065359656"/>
          <c:y val="0.13291671874349092"/>
          <c:w val="0.27180081699346537"/>
          <c:h val="0.86486550292324571"/>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29"/>
  <c:chart>
    <c:title>
      <c:tx>
        <c:rich>
          <a:bodyPr/>
          <a:lstStyle/>
          <a:p>
            <a:pPr>
              <a:defRPr sz="1400"/>
            </a:pPr>
            <a:r>
              <a:rPr lang="el-GR" sz="1400"/>
              <a:t>Έκδοση πιστοποιητικών </a:t>
            </a:r>
            <a:r>
              <a:rPr lang="en-US" sz="1400"/>
              <a:t>EudraGMP</a:t>
            </a:r>
            <a:r>
              <a:rPr lang="el-GR" sz="1400"/>
              <a:t> 2008-201</a:t>
            </a:r>
            <a:r>
              <a:rPr lang="en-US" sz="1400"/>
              <a:t>2</a:t>
            </a:r>
          </a:p>
        </c:rich>
      </c:tx>
    </c:title>
    <c:plotArea>
      <c:layout/>
      <c:barChart>
        <c:barDir val="col"/>
        <c:grouping val="clustered"/>
        <c:ser>
          <c:idx val="0"/>
          <c:order val="0"/>
          <c:tx>
            <c:strRef>
              <c:f>'INSPECTIONS LICENCES'!$A$12</c:f>
              <c:strCache>
                <c:ptCount val="1"/>
                <c:pt idx="0">
                  <c:v>Έκδοση πιστοποιητικών EudraGMP</c:v>
                </c:pt>
              </c:strCache>
            </c:strRef>
          </c:tx>
          <c:dLbls>
            <c:txPr>
              <a:bodyPr/>
              <a:lstStyle/>
              <a:p>
                <a:pPr>
                  <a:defRPr b="1" i="0"/>
                </a:pPr>
                <a:endParaRPr lang="en-US"/>
              </a:p>
            </c:txPr>
            <c:showVal val="1"/>
          </c:dLbls>
          <c:cat>
            <c:numRef>
              <c:f>'INSPECTIONS LICENCES'!$B$2:$F$2</c:f>
              <c:numCache>
                <c:formatCode>General</c:formatCode>
                <c:ptCount val="5"/>
                <c:pt idx="0">
                  <c:v>2008</c:v>
                </c:pt>
                <c:pt idx="1">
                  <c:v>2009</c:v>
                </c:pt>
                <c:pt idx="2">
                  <c:v>2010</c:v>
                </c:pt>
                <c:pt idx="3">
                  <c:v>2011</c:v>
                </c:pt>
                <c:pt idx="4">
                  <c:v>2012</c:v>
                </c:pt>
              </c:numCache>
            </c:numRef>
          </c:cat>
          <c:val>
            <c:numRef>
              <c:f>'INSPECTIONS LICENCES'!$B$12:$F$12</c:f>
              <c:numCache>
                <c:formatCode>General</c:formatCode>
                <c:ptCount val="5"/>
                <c:pt idx="0">
                  <c:v>9</c:v>
                </c:pt>
                <c:pt idx="1">
                  <c:v>24</c:v>
                </c:pt>
                <c:pt idx="2">
                  <c:v>12</c:v>
                </c:pt>
                <c:pt idx="3">
                  <c:v>6</c:v>
                </c:pt>
                <c:pt idx="4">
                  <c:v>16</c:v>
                </c:pt>
              </c:numCache>
            </c:numRef>
          </c:val>
        </c:ser>
        <c:axId val="68952064"/>
        <c:axId val="68953600"/>
      </c:barChart>
      <c:catAx>
        <c:axId val="68952064"/>
        <c:scaling>
          <c:orientation val="minMax"/>
        </c:scaling>
        <c:axPos val="b"/>
        <c:numFmt formatCode="General" sourceLinked="1"/>
        <c:tickLblPos val="nextTo"/>
        <c:crossAx val="68953600"/>
        <c:crosses val="autoZero"/>
        <c:auto val="1"/>
        <c:lblAlgn val="ctr"/>
        <c:lblOffset val="100"/>
      </c:catAx>
      <c:valAx>
        <c:axId val="68953600"/>
        <c:scaling>
          <c:orientation val="minMax"/>
        </c:scaling>
        <c:axPos val="l"/>
        <c:majorGridlines/>
        <c:numFmt formatCode="General" sourceLinked="1"/>
        <c:tickLblPos val="nextTo"/>
        <c:crossAx val="689520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ACFA-CAA3-4F57-BE92-E619DAE9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9847</Words>
  <Characters>56134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ΕΤΗΣΙΑ ΕΚΘΕΣΗ 2006</vt:lpstr>
    </vt:vector>
  </TitlesOfParts>
  <Company>Hewlett-Packard Company</Company>
  <LinksUpToDate>false</LinksUpToDate>
  <CharactersWithSpaces>65850</CharactersWithSpaces>
  <SharedDoc>false</SharedDoc>
  <HLinks>
    <vt:vector size="402" baseType="variant">
      <vt:variant>
        <vt:i4>1572918</vt:i4>
      </vt:variant>
      <vt:variant>
        <vt:i4>398</vt:i4>
      </vt:variant>
      <vt:variant>
        <vt:i4>0</vt:i4>
      </vt:variant>
      <vt:variant>
        <vt:i4>5</vt:i4>
      </vt:variant>
      <vt:variant>
        <vt:lpwstr/>
      </vt:variant>
      <vt:variant>
        <vt:lpwstr>_Toc227378463</vt:lpwstr>
      </vt:variant>
      <vt:variant>
        <vt:i4>1572918</vt:i4>
      </vt:variant>
      <vt:variant>
        <vt:i4>392</vt:i4>
      </vt:variant>
      <vt:variant>
        <vt:i4>0</vt:i4>
      </vt:variant>
      <vt:variant>
        <vt:i4>5</vt:i4>
      </vt:variant>
      <vt:variant>
        <vt:lpwstr/>
      </vt:variant>
      <vt:variant>
        <vt:lpwstr>_Toc227378462</vt:lpwstr>
      </vt:variant>
      <vt:variant>
        <vt:i4>1572918</vt:i4>
      </vt:variant>
      <vt:variant>
        <vt:i4>386</vt:i4>
      </vt:variant>
      <vt:variant>
        <vt:i4>0</vt:i4>
      </vt:variant>
      <vt:variant>
        <vt:i4>5</vt:i4>
      </vt:variant>
      <vt:variant>
        <vt:lpwstr/>
      </vt:variant>
      <vt:variant>
        <vt:lpwstr>_Toc227378461</vt:lpwstr>
      </vt:variant>
      <vt:variant>
        <vt:i4>1572918</vt:i4>
      </vt:variant>
      <vt:variant>
        <vt:i4>380</vt:i4>
      </vt:variant>
      <vt:variant>
        <vt:i4>0</vt:i4>
      </vt:variant>
      <vt:variant>
        <vt:i4>5</vt:i4>
      </vt:variant>
      <vt:variant>
        <vt:lpwstr/>
      </vt:variant>
      <vt:variant>
        <vt:lpwstr>_Toc227378460</vt:lpwstr>
      </vt:variant>
      <vt:variant>
        <vt:i4>1769526</vt:i4>
      </vt:variant>
      <vt:variant>
        <vt:i4>374</vt:i4>
      </vt:variant>
      <vt:variant>
        <vt:i4>0</vt:i4>
      </vt:variant>
      <vt:variant>
        <vt:i4>5</vt:i4>
      </vt:variant>
      <vt:variant>
        <vt:lpwstr/>
      </vt:variant>
      <vt:variant>
        <vt:lpwstr>_Toc227378459</vt:lpwstr>
      </vt:variant>
      <vt:variant>
        <vt:i4>1769526</vt:i4>
      </vt:variant>
      <vt:variant>
        <vt:i4>368</vt:i4>
      </vt:variant>
      <vt:variant>
        <vt:i4>0</vt:i4>
      </vt:variant>
      <vt:variant>
        <vt:i4>5</vt:i4>
      </vt:variant>
      <vt:variant>
        <vt:lpwstr/>
      </vt:variant>
      <vt:variant>
        <vt:lpwstr>_Toc227378458</vt:lpwstr>
      </vt:variant>
      <vt:variant>
        <vt:i4>1769526</vt:i4>
      </vt:variant>
      <vt:variant>
        <vt:i4>362</vt:i4>
      </vt:variant>
      <vt:variant>
        <vt:i4>0</vt:i4>
      </vt:variant>
      <vt:variant>
        <vt:i4>5</vt:i4>
      </vt:variant>
      <vt:variant>
        <vt:lpwstr/>
      </vt:variant>
      <vt:variant>
        <vt:lpwstr>_Toc227378457</vt:lpwstr>
      </vt:variant>
      <vt:variant>
        <vt:i4>1769526</vt:i4>
      </vt:variant>
      <vt:variant>
        <vt:i4>356</vt:i4>
      </vt:variant>
      <vt:variant>
        <vt:i4>0</vt:i4>
      </vt:variant>
      <vt:variant>
        <vt:i4>5</vt:i4>
      </vt:variant>
      <vt:variant>
        <vt:lpwstr/>
      </vt:variant>
      <vt:variant>
        <vt:lpwstr>_Toc227378456</vt:lpwstr>
      </vt:variant>
      <vt:variant>
        <vt:i4>1769526</vt:i4>
      </vt:variant>
      <vt:variant>
        <vt:i4>350</vt:i4>
      </vt:variant>
      <vt:variant>
        <vt:i4>0</vt:i4>
      </vt:variant>
      <vt:variant>
        <vt:i4>5</vt:i4>
      </vt:variant>
      <vt:variant>
        <vt:lpwstr/>
      </vt:variant>
      <vt:variant>
        <vt:lpwstr>_Toc227378455</vt:lpwstr>
      </vt:variant>
      <vt:variant>
        <vt:i4>1769526</vt:i4>
      </vt:variant>
      <vt:variant>
        <vt:i4>344</vt:i4>
      </vt:variant>
      <vt:variant>
        <vt:i4>0</vt:i4>
      </vt:variant>
      <vt:variant>
        <vt:i4>5</vt:i4>
      </vt:variant>
      <vt:variant>
        <vt:lpwstr/>
      </vt:variant>
      <vt:variant>
        <vt:lpwstr>_Toc227378454</vt:lpwstr>
      </vt:variant>
      <vt:variant>
        <vt:i4>1769526</vt:i4>
      </vt:variant>
      <vt:variant>
        <vt:i4>338</vt:i4>
      </vt:variant>
      <vt:variant>
        <vt:i4>0</vt:i4>
      </vt:variant>
      <vt:variant>
        <vt:i4>5</vt:i4>
      </vt:variant>
      <vt:variant>
        <vt:lpwstr/>
      </vt:variant>
      <vt:variant>
        <vt:lpwstr>_Toc227378453</vt:lpwstr>
      </vt:variant>
      <vt:variant>
        <vt:i4>1769526</vt:i4>
      </vt:variant>
      <vt:variant>
        <vt:i4>332</vt:i4>
      </vt:variant>
      <vt:variant>
        <vt:i4>0</vt:i4>
      </vt:variant>
      <vt:variant>
        <vt:i4>5</vt:i4>
      </vt:variant>
      <vt:variant>
        <vt:lpwstr/>
      </vt:variant>
      <vt:variant>
        <vt:lpwstr>_Toc227378452</vt:lpwstr>
      </vt:variant>
      <vt:variant>
        <vt:i4>1769526</vt:i4>
      </vt:variant>
      <vt:variant>
        <vt:i4>326</vt:i4>
      </vt:variant>
      <vt:variant>
        <vt:i4>0</vt:i4>
      </vt:variant>
      <vt:variant>
        <vt:i4>5</vt:i4>
      </vt:variant>
      <vt:variant>
        <vt:lpwstr/>
      </vt:variant>
      <vt:variant>
        <vt:lpwstr>_Toc227378451</vt:lpwstr>
      </vt:variant>
      <vt:variant>
        <vt:i4>1769526</vt:i4>
      </vt:variant>
      <vt:variant>
        <vt:i4>320</vt:i4>
      </vt:variant>
      <vt:variant>
        <vt:i4>0</vt:i4>
      </vt:variant>
      <vt:variant>
        <vt:i4>5</vt:i4>
      </vt:variant>
      <vt:variant>
        <vt:lpwstr/>
      </vt:variant>
      <vt:variant>
        <vt:lpwstr>_Toc227378450</vt:lpwstr>
      </vt:variant>
      <vt:variant>
        <vt:i4>1703990</vt:i4>
      </vt:variant>
      <vt:variant>
        <vt:i4>314</vt:i4>
      </vt:variant>
      <vt:variant>
        <vt:i4>0</vt:i4>
      </vt:variant>
      <vt:variant>
        <vt:i4>5</vt:i4>
      </vt:variant>
      <vt:variant>
        <vt:lpwstr/>
      </vt:variant>
      <vt:variant>
        <vt:lpwstr>_Toc227378449</vt:lpwstr>
      </vt:variant>
      <vt:variant>
        <vt:i4>1703990</vt:i4>
      </vt:variant>
      <vt:variant>
        <vt:i4>308</vt:i4>
      </vt:variant>
      <vt:variant>
        <vt:i4>0</vt:i4>
      </vt:variant>
      <vt:variant>
        <vt:i4>5</vt:i4>
      </vt:variant>
      <vt:variant>
        <vt:lpwstr/>
      </vt:variant>
      <vt:variant>
        <vt:lpwstr>_Toc227378448</vt:lpwstr>
      </vt:variant>
      <vt:variant>
        <vt:i4>1703990</vt:i4>
      </vt:variant>
      <vt:variant>
        <vt:i4>302</vt:i4>
      </vt:variant>
      <vt:variant>
        <vt:i4>0</vt:i4>
      </vt:variant>
      <vt:variant>
        <vt:i4>5</vt:i4>
      </vt:variant>
      <vt:variant>
        <vt:lpwstr/>
      </vt:variant>
      <vt:variant>
        <vt:lpwstr>_Toc227378447</vt:lpwstr>
      </vt:variant>
      <vt:variant>
        <vt:i4>1703990</vt:i4>
      </vt:variant>
      <vt:variant>
        <vt:i4>296</vt:i4>
      </vt:variant>
      <vt:variant>
        <vt:i4>0</vt:i4>
      </vt:variant>
      <vt:variant>
        <vt:i4>5</vt:i4>
      </vt:variant>
      <vt:variant>
        <vt:lpwstr/>
      </vt:variant>
      <vt:variant>
        <vt:lpwstr>_Toc227378446</vt:lpwstr>
      </vt:variant>
      <vt:variant>
        <vt:i4>1703990</vt:i4>
      </vt:variant>
      <vt:variant>
        <vt:i4>290</vt:i4>
      </vt:variant>
      <vt:variant>
        <vt:i4>0</vt:i4>
      </vt:variant>
      <vt:variant>
        <vt:i4>5</vt:i4>
      </vt:variant>
      <vt:variant>
        <vt:lpwstr/>
      </vt:variant>
      <vt:variant>
        <vt:lpwstr>_Toc227378445</vt:lpwstr>
      </vt:variant>
      <vt:variant>
        <vt:i4>1703990</vt:i4>
      </vt:variant>
      <vt:variant>
        <vt:i4>284</vt:i4>
      </vt:variant>
      <vt:variant>
        <vt:i4>0</vt:i4>
      </vt:variant>
      <vt:variant>
        <vt:i4>5</vt:i4>
      </vt:variant>
      <vt:variant>
        <vt:lpwstr/>
      </vt:variant>
      <vt:variant>
        <vt:lpwstr>_Toc227378444</vt:lpwstr>
      </vt:variant>
      <vt:variant>
        <vt:i4>1703990</vt:i4>
      </vt:variant>
      <vt:variant>
        <vt:i4>278</vt:i4>
      </vt:variant>
      <vt:variant>
        <vt:i4>0</vt:i4>
      </vt:variant>
      <vt:variant>
        <vt:i4>5</vt:i4>
      </vt:variant>
      <vt:variant>
        <vt:lpwstr/>
      </vt:variant>
      <vt:variant>
        <vt:lpwstr>_Toc227378443</vt:lpwstr>
      </vt:variant>
      <vt:variant>
        <vt:i4>1703990</vt:i4>
      </vt:variant>
      <vt:variant>
        <vt:i4>272</vt:i4>
      </vt:variant>
      <vt:variant>
        <vt:i4>0</vt:i4>
      </vt:variant>
      <vt:variant>
        <vt:i4>5</vt:i4>
      </vt:variant>
      <vt:variant>
        <vt:lpwstr/>
      </vt:variant>
      <vt:variant>
        <vt:lpwstr>_Toc227378442</vt:lpwstr>
      </vt:variant>
      <vt:variant>
        <vt:i4>1703990</vt:i4>
      </vt:variant>
      <vt:variant>
        <vt:i4>266</vt:i4>
      </vt:variant>
      <vt:variant>
        <vt:i4>0</vt:i4>
      </vt:variant>
      <vt:variant>
        <vt:i4>5</vt:i4>
      </vt:variant>
      <vt:variant>
        <vt:lpwstr/>
      </vt:variant>
      <vt:variant>
        <vt:lpwstr>_Toc227378441</vt:lpwstr>
      </vt:variant>
      <vt:variant>
        <vt:i4>1703990</vt:i4>
      </vt:variant>
      <vt:variant>
        <vt:i4>260</vt:i4>
      </vt:variant>
      <vt:variant>
        <vt:i4>0</vt:i4>
      </vt:variant>
      <vt:variant>
        <vt:i4>5</vt:i4>
      </vt:variant>
      <vt:variant>
        <vt:lpwstr/>
      </vt:variant>
      <vt:variant>
        <vt:lpwstr>_Toc227378440</vt:lpwstr>
      </vt:variant>
      <vt:variant>
        <vt:i4>1900598</vt:i4>
      </vt:variant>
      <vt:variant>
        <vt:i4>254</vt:i4>
      </vt:variant>
      <vt:variant>
        <vt:i4>0</vt:i4>
      </vt:variant>
      <vt:variant>
        <vt:i4>5</vt:i4>
      </vt:variant>
      <vt:variant>
        <vt:lpwstr/>
      </vt:variant>
      <vt:variant>
        <vt:lpwstr>_Toc227378439</vt:lpwstr>
      </vt:variant>
      <vt:variant>
        <vt:i4>1900598</vt:i4>
      </vt:variant>
      <vt:variant>
        <vt:i4>248</vt:i4>
      </vt:variant>
      <vt:variant>
        <vt:i4>0</vt:i4>
      </vt:variant>
      <vt:variant>
        <vt:i4>5</vt:i4>
      </vt:variant>
      <vt:variant>
        <vt:lpwstr/>
      </vt:variant>
      <vt:variant>
        <vt:lpwstr>_Toc227378438</vt:lpwstr>
      </vt:variant>
      <vt:variant>
        <vt:i4>1900598</vt:i4>
      </vt:variant>
      <vt:variant>
        <vt:i4>242</vt:i4>
      </vt:variant>
      <vt:variant>
        <vt:i4>0</vt:i4>
      </vt:variant>
      <vt:variant>
        <vt:i4>5</vt:i4>
      </vt:variant>
      <vt:variant>
        <vt:lpwstr/>
      </vt:variant>
      <vt:variant>
        <vt:lpwstr>_Toc227378437</vt:lpwstr>
      </vt:variant>
      <vt:variant>
        <vt:i4>1900598</vt:i4>
      </vt:variant>
      <vt:variant>
        <vt:i4>236</vt:i4>
      </vt:variant>
      <vt:variant>
        <vt:i4>0</vt:i4>
      </vt:variant>
      <vt:variant>
        <vt:i4>5</vt:i4>
      </vt:variant>
      <vt:variant>
        <vt:lpwstr/>
      </vt:variant>
      <vt:variant>
        <vt:lpwstr>_Toc227378436</vt:lpwstr>
      </vt:variant>
      <vt:variant>
        <vt:i4>1900598</vt:i4>
      </vt:variant>
      <vt:variant>
        <vt:i4>230</vt:i4>
      </vt:variant>
      <vt:variant>
        <vt:i4>0</vt:i4>
      </vt:variant>
      <vt:variant>
        <vt:i4>5</vt:i4>
      </vt:variant>
      <vt:variant>
        <vt:lpwstr/>
      </vt:variant>
      <vt:variant>
        <vt:lpwstr>_Toc227378435</vt:lpwstr>
      </vt:variant>
      <vt:variant>
        <vt:i4>1900598</vt:i4>
      </vt:variant>
      <vt:variant>
        <vt:i4>224</vt:i4>
      </vt:variant>
      <vt:variant>
        <vt:i4>0</vt:i4>
      </vt:variant>
      <vt:variant>
        <vt:i4>5</vt:i4>
      </vt:variant>
      <vt:variant>
        <vt:lpwstr/>
      </vt:variant>
      <vt:variant>
        <vt:lpwstr>_Toc227378434</vt:lpwstr>
      </vt:variant>
      <vt:variant>
        <vt:i4>1900598</vt:i4>
      </vt:variant>
      <vt:variant>
        <vt:i4>218</vt:i4>
      </vt:variant>
      <vt:variant>
        <vt:i4>0</vt:i4>
      </vt:variant>
      <vt:variant>
        <vt:i4>5</vt:i4>
      </vt:variant>
      <vt:variant>
        <vt:lpwstr/>
      </vt:variant>
      <vt:variant>
        <vt:lpwstr>_Toc227378433</vt:lpwstr>
      </vt:variant>
      <vt:variant>
        <vt:i4>1900598</vt:i4>
      </vt:variant>
      <vt:variant>
        <vt:i4>212</vt:i4>
      </vt:variant>
      <vt:variant>
        <vt:i4>0</vt:i4>
      </vt:variant>
      <vt:variant>
        <vt:i4>5</vt:i4>
      </vt:variant>
      <vt:variant>
        <vt:lpwstr/>
      </vt:variant>
      <vt:variant>
        <vt:lpwstr>_Toc227378432</vt:lpwstr>
      </vt:variant>
      <vt:variant>
        <vt:i4>1900598</vt:i4>
      </vt:variant>
      <vt:variant>
        <vt:i4>206</vt:i4>
      </vt:variant>
      <vt:variant>
        <vt:i4>0</vt:i4>
      </vt:variant>
      <vt:variant>
        <vt:i4>5</vt:i4>
      </vt:variant>
      <vt:variant>
        <vt:lpwstr/>
      </vt:variant>
      <vt:variant>
        <vt:lpwstr>_Toc227378431</vt:lpwstr>
      </vt:variant>
      <vt:variant>
        <vt:i4>1900598</vt:i4>
      </vt:variant>
      <vt:variant>
        <vt:i4>200</vt:i4>
      </vt:variant>
      <vt:variant>
        <vt:i4>0</vt:i4>
      </vt:variant>
      <vt:variant>
        <vt:i4>5</vt:i4>
      </vt:variant>
      <vt:variant>
        <vt:lpwstr/>
      </vt:variant>
      <vt:variant>
        <vt:lpwstr>_Toc227378430</vt:lpwstr>
      </vt:variant>
      <vt:variant>
        <vt:i4>1835062</vt:i4>
      </vt:variant>
      <vt:variant>
        <vt:i4>194</vt:i4>
      </vt:variant>
      <vt:variant>
        <vt:i4>0</vt:i4>
      </vt:variant>
      <vt:variant>
        <vt:i4>5</vt:i4>
      </vt:variant>
      <vt:variant>
        <vt:lpwstr/>
      </vt:variant>
      <vt:variant>
        <vt:lpwstr>_Toc227378429</vt:lpwstr>
      </vt:variant>
      <vt:variant>
        <vt:i4>1835062</vt:i4>
      </vt:variant>
      <vt:variant>
        <vt:i4>188</vt:i4>
      </vt:variant>
      <vt:variant>
        <vt:i4>0</vt:i4>
      </vt:variant>
      <vt:variant>
        <vt:i4>5</vt:i4>
      </vt:variant>
      <vt:variant>
        <vt:lpwstr/>
      </vt:variant>
      <vt:variant>
        <vt:lpwstr>_Toc227378428</vt:lpwstr>
      </vt:variant>
      <vt:variant>
        <vt:i4>1835062</vt:i4>
      </vt:variant>
      <vt:variant>
        <vt:i4>182</vt:i4>
      </vt:variant>
      <vt:variant>
        <vt:i4>0</vt:i4>
      </vt:variant>
      <vt:variant>
        <vt:i4>5</vt:i4>
      </vt:variant>
      <vt:variant>
        <vt:lpwstr/>
      </vt:variant>
      <vt:variant>
        <vt:lpwstr>_Toc227378427</vt:lpwstr>
      </vt:variant>
      <vt:variant>
        <vt:i4>1835062</vt:i4>
      </vt:variant>
      <vt:variant>
        <vt:i4>176</vt:i4>
      </vt:variant>
      <vt:variant>
        <vt:i4>0</vt:i4>
      </vt:variant>
      <vt:variant>
        <vt:i4>5</vt:i4>
      </vt:variant>
      <vt:variant>
        <vt:lpwstr/>
      </vt:variant>
      <vt:variant>
        <vt:lpwstr>_Toc227378426</vt:lpwstr>
      </vt:variant>
      <vt:variant>
        <vt:i4>1835062</vt:i4>
      </vt:variant>
      <vt:variant>
        <vt:i4>170</vt:i4>
      </vt:variant>
      <vt:variant>
        <vt:i4>0</vt:i4>
      </vt:variant>
      <vt:variant>
        <vt:i4>5</vt:i4>
      </vt:variant>
      <vt:variant>
        <vt:lpwstr/>
      </vt:variant>
      <vt:variant>
        <vt:lpwstr>_Toc227378425</vt:lpwstr>
      </vt:variant>
      <vt:variant>
        <vt:i4>1835062</vt:i4>
      </vt:variant>
      <vt:variant>
        <vt:i4>164</vt:i4>
      </vt:variant>
      <vt:variant>
        <vt:i4>0</vt:i4>
      </vt:variant>
      <vt:variant>
        <vt:i4>5</vt:i4>
      </vt:variant>
      <vt:variant>
        <vt:lpwstr/>
      </vt:variant>
      <vt:variant>
        <vt:lpwstr>_Toc227378424</vt:lpwstr>
      </vt:variant>
      <vt:variant>
        <vt:i4>1835062</vt:i4>
      </vt:variant>
      <vt:variant>
        <vt:i4>158</vt:i4>
      </vt:variant>
      <vt:variant>
        <vt:i4>0</vt:i4>
      </vt:variant>
      <vt:variant>
        <vt:i4>5</vt:i4>
      </vt:variant>
      <vt:variant>
        <vt:lpwstr/>
      </vt:variant>
      <vt:variant>
        <vt:lpwstr>_Toc227378423</vt:lpwstr>
      </vt:variant>
      <vt:variant>
        <vt:i4>1835062</vt:i4>
      </vt:variant>
      <vt:variant>
        <vt:i4>152</vt:i4>
      </vt:variant>
      <vt:variant>
        <vt:i4>0</vt:i4>
      </vt:variant>
      <vt:variant>
        <vt:i4>5</vt:i4>
      </vt:variant>
      <vt:variant>
        <vt:lpwstr/>
      </vt:variant>
      <vt:variant>
        <vt:lpwstr>_Toc227378422</vt:lpwstr>
      </vt:variant>
      <vt:variant>
        <vt:i4>1835062</vt:i4>
      </vt:variant>
      <vt:variant>
        <vt:i4>146</vt:i4>
      </vt:variant>
      <vt:variant>
        <vt:i4>0</vt:i4>
      </vt:variant>
      <vt:variant>
        <vt:i4>5</vt:i4>
      </vt:variant>
      <vt:variant>
        <vt:lpwstr/>
      </vt:variant>
      <vt:variant>
        <vt:lpwstr>_Toc227378421</vt:lpwstr>
      </vt:variant>
      <vt:variant>
        <vt:i4>1835062</vt:i4>
      </vt:variant>
      <vt:variant>
        <vt:i4>140</vt:i4>
      </vt:variant>
      <vt:variant>
        <vt:i4>0</vt:i4>
      </vt:variant>
      <vt:variant>
        <vt:i4>5</vt:i4>
      </vt:variant>
      <vt:variant>
        <vt:lpwstr/>
      </vt:variant>
      <vt:variant>
        <vt:lpwstr>_Toc227378420</vt:lpwstr>
      </vt:variant>
      <vt:variant>
        <vt:i4>2031670</vt:i4>
      </vt:variant>
      <vt:variant>
        <vt:i4>134</vt:i4>
      </vt:variant>
      <vt:variant>
        <vt:i4>0</vt:i4>
      </vt:variant>
      <vt:variant>
        <vt:i4>5</vt:i4>
      </vt:variant>
      <vt:variant>
        <vt:lpwstr/>
      </vt:variant>
      <vt:variant>
        <vt:lpwstr>_Toc227378419</vt:lpwstr>
      </vt:variant>
      <vt:variant>
        <vt:i4>2031670</vt:i4>
      </vt:variant>
      <vt:variant>
        <vt:i4>128</vt:i4>
      </vt:variant>
      <vt:variant>
        <vt:i4>0</vt:i4>
      </vt:variant>
      <vt:variant>
        <vt:i4>5</vt:i4>
      </vt:variant>
      <vt:variant>
        <vt:lpwstr/>
      </vt:variant>
      <vt:variant>
        <vt:lpwstr>_Toc227378418</vt:lpwstr>
      </vt:variant>
      <vt:variant>
        <vt:i4>2031670</vt:i4>
      </vt:variant>
      <vt:variant>
        <vt:i4>122</vt:i4>
      </vt:variant>
      <vt:variant>
        <vt:i4>0</vt:i4>
      </vt:variant>
      <vt:variant>
        <vt:i4>5</vt:i4>
      </vt:variant>
      <vt:variant>
        <vt:lpwstr/>
      </vt:variant>
      <vt:variant>
        <vt:lpwstr>_Toc227378417</vt:lpwstr>
      </vt:variant>
      <vt:variant>
        <vt:i4>2031670</vt:i4>
      </vt:variant>
      <vt:variant>
        <vt:i4>116</vt:i4>
      </vt:variant>
      <vt:variant>
        <vt:i4>0</vt:i4>
      </vt:variant>
      <vt:variant>
        <vt:i4>5</vt:i4>
      </vt:variant>
      <vt:variant>
        <vt:lpwstr/>
      </vt:variant>
      <vt:variant>
        <vt:lpwstr>_Toc227378416</vt:lpwstr>
      </vt:variant>
      <vt:variant>
        <vt:i4>2031670</vt:i4>
      </vt:variant>
      <vt:variant>
        <vt:i4>110</vt:i4>
      </vt:variant>
      <vt:variant>
        <vt:i4>0</vt:i4>
      </vt:variant>
      <vt:variant>
        <vt:i4>5</vt:i4>
      </vt:variant>
      <vt:variant>
        <vt:lpwstr/>
      </vt:variant>
      <vt:variant>
        <vt:lpwstr>_Toc227378415</vt:lpwstr>
      </vt:variant>
      <vt:variant>
        <vt:i4>2031670</vt:i4>
      </vt:variant>
      <vt:variant>
        <vt:i4>104</vt:i4>
      </vt:variant>
      <vt:variant>
        <vt:i4>0</vt:i4>
      </vt:variant>
      <vt:variant>
        <vt:i4>5</vt:i4>
      </vt:variant>
      <vt:variant>
        <vt:lpwstr/>
      </vt:variant>
      <vt:variant>
        <vt:lpwstr>_Toc227378414</vt:lpwstr>
      </vt:variant>
      <vt:variant>
        <vt:i4>2031670</vt:i4>
      </vt:variant>
      <vt:variant>
        <vt:i4>98</vt:i4>
      </vt:variant>
      <vt:variant>
        <vt:i4>0</vt:i4>
      </vt:variant>
      <vt:variant>
        <vt:i4>5</vt:i4>
      </vt:variant>
      <vt:variant>
        <vt:lpwstr/>
      </vt:variant>
      <vt:variant>
        <vt:lpwstr>_Toc227378413</vt:lpwstr>
      </vt:variant>
      <vt:variant>
        <vt:i4>2031670</vt:i4>
      </vt:variant>
      <vt:variant>
        <vt:i4>92</vt:i4>
      </vt:variant>
      <vt:variant>
        <vt:i4>0</vt:i4>
      </vt:variant>
      <vt:variant>
        <vt:i4>5</vt:i4>
      </vt:variant>
      <vt:variant>
        <vt:lpwstr/>
      </vt:variant>
      <vt:variant>
        <vt:lpwstr>_Toc227378412</vt:lpwstr>
      </vt:variant>
      <vt:variant>
        <vt:i4>2031670</vt:i4>
      </vt:variant>
      <vt:variant>
        <vt:i4>86</vt:i4>
      </vt:variant>
      <vt:variant>
        <vt:i4>0</vt:i4>
      </vt:variant>
      <vt:variant>
        <vt:i4>5</vt:i4>
      </vt:variant>
      <vt:variant>
        <vt:lpwstr/>
      </vt:variant>
      <vt:variant>
        <vt:lpwstr>_Toc227378411</vt:lpwstr>
      </vt:variant>
      <vt:variant>
        <vt:i4>2031670</vt:i4>
      </vt:variant>
      <vt:variant>
        <vt:i4>80</vt:i4>
      </vt:variant>
      <vt:variant>
        <vt:i4>0</vt:i4>
      </vt:variant>
      <vt:variant>
        <vt:i4>5</vt:i4>
      </vt:variant>
      <vt:variant>
        <vt:lpwstr/>
      </vt:variant>
      <vt:variant>
        <vt:lpwstr>_Toc227378410</vt:lpwstr>
      </vt:variant>
      <vt:variant>
        <vt:i4>1966134</vt:i4>
      </vt:variant>
      <vt:variant>
        <vt:i4>74</vt:i4>
      </vt:variant>
      <vt:variant>
        <vt:i4>0</vt:i4>
      </vt:variant>
      <vt:variant>
        <vt:i4>5</vt:i4>
      </vt:variant>
      <vt:variant>
        <vt:lpwstr/>
      </vt:variant>
      <vt:variant>
        <vt:lpwstr>_Toc227378409</vt:lpwstr>
      </vt:variant>
      <vt:variant>
        <vt:i4>1966134</vt:i4>
      </vt:variant>
      <vt:variant>
        <vt:i4>68</vt:i4>
      </vt:variant>
      <vt:variant>
        <vt:i4>0</vt:i4>
      </vt:variant>
      <vt:variant>
        <vt:i4>5</vt:i4>
      </vt:variant>
      <vt:variant>
        <vt:lpwstr/>
      </vt:variant>
      <vt:variant>
        <vt:lpwstr>_Toc227378408</vt:lpwstr>
      </vt:variant>
      <vt:variant>
        <vt:i4>1966134</vt:i4>
      </vt:variant>
      <vt:variant>
        <vt:i4>62</vt:i4>
      </vt:variant>
      <vt:variant>
        <vt:i4>0</vt:i4>
      </vt:variant>
      <vt:variant>
        <vt:i4>5</vt:i4>
      </vt:variant>
      <vt:variant>
        <vt:lpwstr/>
      </vt:variant>
      <vt:variant>
        <vt:lpwstr>_Toc227378407</vt:lpwstr>
      </vt:variant>
      <vt:variant>
        <vt:i4>1966134</vt:i4>
      </vt:variant>
      <vt:variant>
        <vt:i4>56</vt:i4>
      </vt:variant>
      <vt:variant>
        <vt:i4>0</vt:i4>
      </vt:variant>
      <vt:variant>
        <vt:i4>5</vt:i4>
      </vt:variant>
      <vt:variant>
        <vt:lpwstr/>
      </vt:variant>
      <vt:variant>
        <vt:lpwstr>_Toc227378406</vt:lpwstr>
      </vt:variant>
      <vt:variant>
        <vt:i4>1966134</vt:i4>
      </vt:variant>
      <vt:variant>
        <vt:i4>50</vt:i4>
      </vt:variant>
      <vt:variant>
        <vt:i4>0</vt:i4>
      </vt:variant>
      <vt:variant>
        <vt:i4>5</vt:i4>
      </vt:variant>
      <vt:variant>
        <vt:lpwstr/>
      </vt:variant>
      <vt:variant>
        <vt:lpwstr>_Toc227378405</vt:lpwstr>
      </vt:variant>
      <vt:variant>
        <vt:i4>1966134</vt:i4>
      </vt:variant>
      <vt:variant>
        <vt:i4>44</vt:i4>
      </vt:variant>
      <vt:variant>
        <vt:i4>0</vt:i4>
      </vt:variant>
      <vt:variant>
        <vt:i4>5</vt:i4>
      </vt:variant>
      <vt:variant>
        <vt:lpwstr/>
      </vt:variant>
      <vt:variant>
        <vt:lpwstr>_Toc227378404</vt:lpwstr>
      </vt:variant>
      <vt:variant>
        <vt:i4>1966134</vt:i4>
      </vt:variant>
      <vt:variant>
        <vt:i4>38</vt:i4>
      </vt:variant>
      <vt:variant>
        <vt:i4>0</vt:i4>
      </vt:variant>
      <vt:variant>
        <vt:i4>5</vt:i4>
      </vt:variant>
      <vt:variant>
        <vt:lpwstr/>
      </vt:variant>
      <vt:variant>
        <vt:lpwstr>_Toc227378403</vt:lpwstr>
      </vt:variant>
      <vt:variant>
        <vt:i4>1966134</vt:i4>
      </vt:variant>
      <vt:variant>
        <vt:i4>32</vt:i4>
      </vt:variant>
      <vt:variant>
        <vt:i4>0</vt:i4>
      </vt:variant>
      <vt:variant>
        <vt:i4>5</vt:i4>
      </vt:variant>
      <vt:variant>
        <vt:lpwstr/>
      </vt:variant>
      <vt:variant>
        <vt:lpwstr>_Toc227378402</vt:lpwstr>
      </vt:variant>
      <vt:variant>
        <vt:i4>1966134</vt:i4>
      </vt:variant>
      <vt:variant>
        <vt:i4>26</vt:i4>
      </vt:variant>
      <vt:variant>
        <vt:i4>0</vt:i4>
      </vt:variant>
      <vt:variant>
        <vt:i4>5</vt:i4>
      </vt:variant>
      <vt:variant>
        <vt:lpwstr/>
      </vt:variant>
      <vt:variant>
        <vt:lpwstr>_Toc227378401</vt:lpwstr>
      </vt:variant>
      <vt:variant>
        <vt:i4>1966134</vt:i4>
      </vt:variant>
      <vt:variant>
        <vt:i4>20</vt:i4>
      </vt:variant>
      <vt:variant>
        <vt:i4>0</vt:i4>
      </vt:variant>
      <vt:variant>
        <vt:i4>5</vt:i4>
      </vt:variant>
      <vt:variant>
        <vt:lpwstr/>
      </vt:variant>
      <vt:variant>
        <vt:lpwstr>_Toc227378400</vt:lpwstr>
      </vt:variant>
      <vt:variant>
        <vt:i4>1507377</vt:i4>
      </vt:variant>
      <vt:variant>
        <vt:i4>14</vt:i4>
      </vt:variant>
      <vt:variant>
        <vt:i4>0</vt:i4>
      </vt:variant>
      <vt:variant>
        <vt:i4>5</vt:i4>
      </vt:variant>
      <vt:variant>
        <vt:lpwstr/>
      </vt:variant>
      <vt:variant>
        <vt:lpwstr>_Toc227378399</vt:lpwstr>
      </vt:variant>
      <vt:variant>
        <vt:i4>1507377</vt:i4>
      </vt:variant>
      <vt:variant>
        <vt:i4>8</vt:i4>
      </vt:variant>
      <vt:variant>
        <vt:i4>0</vt:i4>
      </vt:variant>
      <vt:variant>
        <vt:i4>5</vt:i4>
      </vt:variant>
      <vt:variant>
        <vt:lpwstr/>
      </vt:variant>
      <vt:variant>
        <vt:lpwstr>_Toc227378398</vt:lpwstr>
      </vt:variant>
      <vt:variant>
        <vt:i4>1507377</vt:i4>
      </vt:variant>
      <vt:variant>
        <vt:i4>2</vt:i4>
      </vt:variant>
      <vt:variant>
        <vt:i4>0</vt:i4>
      </vt:variant>
      <vt:variant>
        <vt:i4>5</vt:i4>
      </vt:variant>
      <vt:variant>
        <vt:lpwstr/>
      </vt:variant>
      <vt:variant>
        <vt:lpwstr>_Toc227378397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ΕΤΗΣΙΑ ΕΚΘΕΣΗ 2006</dc:title>
  <dc:creator>Pavlos Pavlou</dc:creator>
  <cp:lastModifiedBy>EPSPYROSTR</cp:lastModifiedBy>
  <cp:revision>3</cp:revision>
  <cp:lastPrinted>2014-03-19T08:24:00Z</cp:lastPrinted>
  <dcterms:created xsi:type="dcterms:W3CDTF">2014-04-03T12:02:00Z</dcterms:created>
  <dcterms:modified xsi:type="dcterms:W3CDTF">2014-05-29T07:16:00Z</dcterms:modified>
</cp:coreProperties>
</file>